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8DA2D" w14:textId="00C9266B" w:rsidR="00496AF8" w:rsidRPr="00957B3B" w:rsidRDefault="007C1887" w:rsidP="00957B3B">
      <w:pPr>
        <w:spacing w:after="240"/>
        <w:jc w:val="center"/>
        <w:rPr>
          <w:b/>
          <w:noProof/>
          <w:sz w:val="24"/>
          <w:szCs w:val="24"/>
        </w:rPr>
      </w:pPr>
      <w:bookmarkStart w:id="0" w:name="_GoBack"/>
      <w:bookmarkEnd w:id="0"/>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E" w14:textId="68D6D887"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725D4C">
            <w:rPr>
              <w:rStyle w:val="Style1"/>
            </w:rPr>
            <w:t>N/A</w:t>
          </w:r>
          <w:r w:rsidR="00725D4C">
            <w:rPr>
              <w:rStyle w:val="Style1"/>
            </w:rPr>
            <w:tab/>
          </w:r>
        </w:sdtContent>
      </w:sdt>
    </w:p>
    <w:p w14:paraId="55B8DA2F" w14:textId="3D79C31C"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725D4C" w:rsidRPr="00C71DE9">
            <w:rPr>
              <w:rStyle w:val="InternetLink"/>
              <w:rFonts w:ascii="Trebuchet MS" w:eastAsia="Trebuchet MS" w:hAnsi="Trebuchet MS" w:cs="Trebuchet MS"/>
              <w:color w:val="0000FF"/>
              <w:sz w:val="19"/>
              <w:szCs w:val="19"/>
            </w:rPr>
            <w:t>Hospital 90-Day, All-Cause, Risk-Standardized Mortality Rate (RSMR) Following Coronary Artery Bypass Graft (CABG) Surgery</w:t>
          </w:r>
          <w:r w:rsidR="00725D4C">
            <w:rPr>
              <w:rStyle w:val="InternetLink"/>
              <w:rFonts w:ascii="Trebuchet MS" w:eastAsia="Trebuchet MS" w:hAnsi="Trebuchet MS" w:cs="Trebuchet MS"/>
              <w:color w:val="FF0000"/>
              <w:sz w:val="19"/>
              <w:szCs w:val="19"/>
            </w:rPr>
            <w:t xml:space="preserve"> </w:t>
          </w:r>
        </w:sdtContent>
      </w:sdt>
    </w:p>
    <w:p w14:paraId="55B8DA30" w14:textId="21D11FBD"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dtPr>
        <w:sdtEndPr>
          <w:rPr>
            <w:rStyle w:val="DefaultParagraphFont"/>
            <w:noProof/>
            <w:color w:val="auto"/>
          </w:rPr>
        </w:sdtEndPr>
        <w:sdtContent>
          <w:r w:rsidR="00725D4C">
            <w:rPr>
              <w:rStyle w:val="Style1"/>
            </w:rPr>
            <w:t>N/A</w:t>
          </w:r>
        </w:sdtContent>
      </w:sdt>
    </w:p>
    <w:p w14:paraId="55B8DA32" w14:textId="46D78C34" w:rsidR="00176E60" w:rsidRPr="003B1CC5" w:rsidRDefault="00496AF8" w:rsidP="00957B3B">
      <w:pPr>
        <w:spacing w:after="240"/>
        <w:ind w:left="0" w:firstLine="0"/>
        <w:rPr>
          <w:rStyle w:val="Style2"/>
        </w:rPr>
      </w:pPr>
      <w:r w:rsidRPr="003B1CC5">
        <w:rPr>
          <w:b/>
          <w:noProof/>
        </w:rPr>
        <w:t>Date of Submission</w:t>
      </w:r>
      <w:r w:rsidRPr="003B1CC5">
        <w:rPr>
          <w:noProof/>
        </w:rPr>
        <w:t xml:space="preserve">:  </w:t>
      </w:r>
      <w:sdt>
        <w:sdtPr>
          <w:rPr>
            <w:rStyle w:val="Style2"/>
            <w:u w:val="none"/>
          </w:rPr>
          <w:id w:val="-1689821638"/>
          <w:placeholder>
            <w:docPart w:val="6A100845774148B09AFD987423307E3B"/>
          </w:placeholder>
          <w:date>
            <w:dateFormat w:val="M/d/yyyy"/>
            <w:lid w:val="en-US"/>
            <w:storeMappedDataAs w:val="dateTime"/>
            <w:calendar w:val="gregorian"/>
          </w:date>
        </w:sdtPr>
        <w:sdtEndPr>
          <w:rPr>
            <w:rStyle w:val="DefaultParagraphFont"/>
            <w:noProof/>
            <w:color w:val="auto"/>
          </w:rPr>
        </w:sdtEndPr>
        <w:sdtContent>
          <w:r w:rsidR="00725D4C" w:rsidRPr="00610A56">
            <w:rPr>
              <w:rStyle w:val="Style2"/>
              <w:u w:val="none"/>
            </w:rPr>
            <w:t>N/A</w:t>
          </w:r>
        </w:sdtContent>
      </w:sdt>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r w:rsidR="00A13867" w:rsidRPr="003B1CC5">
              <w:rPr>
                <w:rFonts w:cstheme="minorHAnsi"/>
              </w:rPr>
              <w:t>sub</w:t>
            </w:r>
            <w:r w:rsidRPr="003B1CC5">
              <w:rPr>
                <w:rFonts w:cstheme="minorHAnsi"/>
              </w:rPr>
              <w:t>criterion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F" w14:textId="781798BB" w:rsidR="008659ED" w:rsidRPr="003B1CC5" w:rsidRDefault="007573F0" w:rsidP="00957B3B">
            <w:pPr>
              <w:spacing w:after="240"/>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bookmarkStart w:id="1" w:name="Note2"/>
            <w:bookmarkEnd w:id="1"/>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7" w14:textId="2A5EAFB3" w:rsidR="00CB1E41" w:rsidRPr="00957B3B" w:rsidRDefault="00B35C5F" w:rsidP="00957B3B">
            <w:pPr>
              <w:numPr>
                <w:ilvl w:val="0"/>
                <w:numId w:val="8"/>
              </w:numPr>
              <w:autoSpaceDE w:val="0"/>
              <w:autoSpaceDN w:val="0"/>
              <w:adjustRightInd w:val="0"/>
              <w:spacing w:after="240"/>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2" w:name="Note3"/>
            <w:bookmarkEnd w:id="2"/>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3" w:name="Note4"/>
            <w:bookmarkEnd w:id="3"/>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3"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4" w:name="Note5"/>
            <w:bookmarkEnd w:id="4"/>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r w:rsidRPr="003B1CC5">
              <w:rPr>
                <w:rFonts w:eastAsia="Calibri" w:cs="Calibri"/>
                <w:sz w:val="20"/>
                <w:szCs w:val="20"/>
              </w:rPr>
              <w:lastRenderedPageBreak/>
              <w:t>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5" w:name="Note6"/>
            <w:bookmarkEnd w:id="5"/>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4"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5"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7ABC2BBB" w:rsidR="00496AF8" w:rsidRPr="003B1CC5" w:rsidRDefault="00406E5E" w:rsidP="00A9011D">
      <w:pPr>
        <w:ind w:left="432" w:hanging="432"/>
        <w:rPr>
          <w:rStyle w:val="Style2"/>
          <w:rFonts w:cstheme="minorHAnsi"/>
        </w:rPr>
      </w:pPr>
      <w:sdt>
        <w:sdtPr>
          <w:rPr>
            <w:bCs/>
            <w:color w:val="0000FF"/>
            <w:u w:val="single"/>
          </w:rPr>
          <w:id w:val="1077707841"/>
          <w14:checkbox>
            <w14:checked w14:val="1"/>
            <w14:checkedState w14:val="2612" w14:font="MS Gothic"/>
            <w14:uncheckedState w14:val="2610" w14:font="MS Gothic"/>
          </w14:checkbox>
        </w:sdtPr>
        <w:sdtEndPr/>
        <w:sdtContent>
          <w:r w:rsidR="00573A3A">
            <w:rPr>
              <w:rFonts w:ascii="MS Gothic" w:eastAsia="MS Gothic" w:hAnsi="MS Gothic" w:hint="eastAsia"/>
              <w:bCs/>
              <w:color w:val="0000FF"/>
              <w:u w:val="single"/>
            </w:rPr>
            <w:t>☒</w:t>
          </w:r>
        </w:sdtContent>
      </w:sdt>
      <w:r w:rsidR="0015535B" w:rsidRPr="003B1CC5">
        <w:rPr>
          <w:bCs/>
          <w:color w:val="0000FF"/>
        </w:rPr>
        <w:t xml:space="preserve"> </w:t>
      </w:r>
      <w:r w:rsidR="00CC0F87" w:rsidRPr="00F03E02">
        <w:rPr>
          <w:bCs/>
          <w:shd w:val="clear" w:color="auto" w:fill="FFFF00"/>
        </w:rPr>
        <w:t>O</w:t>
      </w:r>
      <w:r w:rsidR="00BE6373" w:rsidRPr="00F03E02">
        <w:rPr>
          <w:bCs/>
          <w:shd w:val="clear" w:color="auto" w:fill="FFFF00"/>
        </w:rPr>
        <w:t>utc</w:t>
      </w:r>
      <w:r w:rsidR="00496AF8" w:rsidRPr="00F03E02">
        <w:rPr>
          <w:bCs/>
          <w:shd w:val="clear" w:color="auto" w:fill="FFFF00"/>
        </w:rPr>
        <w:t>ome</w:t>
      </w:r>
      <w:r w:rsidR="00B117D0" w:rsidRPr="003B1CC5">
        <w:rPr>
          <w:bCs/>
        </w:rPr>
        <w:t xml:space="preserve">: </w:t>
      </w:r>
      <w:sdt>
        <w:sdtPr>
          <w:rPr>
            <w:rStyle w:val="Style2"/>
            <w:rFonts w:cstheme="minorHAnsi"/>
          </w:rPr>
          <w:id w:val="-768232283"/>
        </w:sdtPr>
        <w:sdtEndPr>
          <w:rPr>
            <w:rStyle w:val="DefaultParagraphFont"/>
            <w:rFonts w:cstheme="minorBidi"/>
            <w:color w:val="auto"/>
            <w:u w:val="none"/>
          </w:rPr>
        </w:sdtEndPr>
        <w:sdtContent>
          <w:r w:rsidR="00725D4C">
            <w:rPr>
              <w:rStyle w:val="Style2"/>
              <w:rFonts w:cstheme="minorHAnsi"/>
            </w:rPr>
            <w:t>90-</w:t>
          </w:r>
          <w:r w:rsidR="007410D9">
            <w:rPr>
              <w:rStyle w:val="Style2"/>
              <w:rFonts w:cstheme="minorHAnsi"/>
            </w:rPr>
            <w:t>D</w:t>
          </w:r>
          <w:r w:rsidR="00725D4C">
            <w:rPr>
              <w:rStyle w:val="Style2"/>
              <w:rFonts w:cstheme="minorHAnsi"/>
            </w:rPr>
            <w:t>ay CABG Mortality</w:t>
          </w:r>
        </w:sdtContent>
      </w:sdt>
    </w:p>
    <w:p w14:paraId="55B8DA52" w14:textId="77777777" w:rsidR="00236F87" w:rsidRPr="003B1CC5" w:rsidRDefault="00406E5E"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406E5E"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77777777" w:rsidR="00D73685" w:rsidRDefault="00406E5E"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howingPlcHdr/>
        </w:sdtPr>
        <w:sdtEndPr>
          <w:rPr>
            <w:rStyle w:val="DefaultParagraphFont"/>
            <w:rFonts w:cstheme="minorBidi"/>
            <w:bCs/>
            <w:color w:val="auto"/>
            <w:u w:val="none"/>
          </w:rPr>
        </w:sdtEndPr>
        <w:sdtContent>
          <w:r w:rsidR="00D73685" w:rsidRPr="003B1CC5">
            <w:rPr>
              <w:rStyle w:val="PlaceholderText"/>
              <w:rFonts w:cstheme="minorHAnsi"/>
              <w:color w:val="A6A6A6" w:themeColor="background1" w:themeShade="A6"/>
            </w:rPr>
            <w:t>Click here to name what is being measured</w:t>
          </w:r>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406E5E"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9" w14:textId="2C80FC1C" w:rsidR="00496AF8" w:rsidRPr="003B1CC5" w:rsidRDefault="00406E5E" w:rsidP="00957B3B">
      <w:pPr>
        <w:spacing w:after="240"/>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A" w14:textId="6FD1C64B" w:rsidR="002B06BD" w:rsidRPr="00676BD4"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3172D0">
        <w:rPr>
          <w:b/>
          <w:bCs/>
        </w:rPr>
        <w:t>LOGIC MODEL</w:t>
      </w:r>
      <w:r w:rsidRPr="003172D0">
        <w:rPr>
          <w:bCs/>
        </w:rPr>
        <w:t xml:space="preserve"> </w:t>
      </w:r>
      <w:r w:rsidRPr="003172D0">
        <w:rPr>
          <w:iCs/>
        </w:rPr>
        <w:t>Diagram or briefly describe</w:t>
      </w:r>
      <w:r w:rsidR="002B06BD" w:rsidRPr="003172D0">
        <w:rPr>
          <w:iCs/>
        </w:rPr>
        <w:t xml:space="preserve"> the </w:t>
      </w:r>
      <w:r w:rsidRPr="003172D0">
        <w:rPr>
          <w:iCs/>
        </w:rPr>
        <w:t>steps</w:t>
      </w:r>
      <w:r w:rsidR="00236F87" w:rsidRPr="003172D0">
        <w:rPr>
          <w:iCs/>
        </w:rPr>
        <w:t xml:space="preserve"> </w:t>
      </w:r>
      <w:r w:rsidR="002B06BD" w:rsidRPr="003172D0">
        <w:rPr>
          <w:iCs/>
        </w:rPr>
        <w:t xml:space="preserve">between </w:t>
      </w:r>
      <w:r w:rsidR="00CB06C9" w:rsidRPr="003172D0">
        <w:rPr>
          <w:iCs/>
        </w:rPr>
        <w:t>the</w:t>
      </w:r>
      <w:r w:rsidR="002B06BD" w:rsidRPr="003172D0">
        <w:rPr>
          <w:iCs/>
        </w:rPr>
        <w:t xml:space="preserve"> healthcare structure</w:t>
      </w:r>
      <w:r w:rsidR="00CB06C9" w:rsidRPr="003172D0">
        <w:rPr>
          <w:iCs/>
        </w:rPr>
        <w:t>s</w:t>
      </w:r>
      <w:r w:rsidR="00F90F82" w:rsidRPr="003172D0">
        <w:rPr>
          <w:iCs/>
        </w:rPr>
        <w:t xml:space="preserve"> and</w:t>
      </w:r>
      <w:r w:rsidR="002B06BD" w:rsidRPr="003172D0">
        <w:rPr>
          <w:iCs/>
        </w:rPr>
        <w:t xml:space="preserve"> process</w:t>
      </w:r>
      <w:r w:rsidR="00CB06C9" w:rsidRPr="003172D0">
        <w:rPr>
          <w:iCs/>
        </w:rPr>
        <w:t>es</w:t>
      </w:r>
      <w:r w:rsidRPr="003172D0">
        <w:rPr>
          <w:iCs/>
        </w:rPr>
        <w:t xml:space="preserve"> (e.g.,</w:t>
      </w:r>
      <w:r w:rsidR="002B06BD" w:rsidRPr="003172D0">
        <w:rPr>
          <w:iCs/>
        </w:rPr>
        <w:t xml:space="preserve"> intervention</w:t>
      </w:r>
      <w:r w:rsidR="00CB06C9" w:rsidRPr="003172D0">
        <w:rPr>
          <w:iCs/>
        </w:rPr>
        <w:t>s</w:t>
      </w:r>
      <w:r w:rsidR="002B06BD" w:rsidRPr="003172D0">
        <w:rPr>
          <w:iCs/>
        </w:rPr>
        <w:t>, or service</w:t>
      </w:r>
      <w:r w:rsidR="00CB06C9" w:rsidRPr="003172D0">
        <w:rPr>
          <w:iCs/>
        </w:rPr>
        <w:t>s</w:t>
      </w:r>
      <w:r w:rsidRPr="003172D0">
        <w:rPr>
          <w:iCs/>
        </w:rPr>
        <w:t>)</w:t>
      </w:r>
      <w:r w:rsidR="00CB06C9" w:rsidRPr="003172D0">
        <w:rPr>
          <w:iCs/>
        </w:rPr>
        <w:t xml:space="preserve"> </w:t>
      </w:r>
      <w:r w:rsidRPr="003172D0">
        <w:rPr>
          <w:iCs/>
        </w:rPr>
        <w:t>and the patient’s health outcome</w:t>
      </w:r>
      <w:r w:rsidR="00F90F82" w:rsidRPr="003172D0">
        <w:rPr>
          <w:iCs/>
        </w:rPr>
        <w:t>(s)</w:t>
      </w:r>
      <w:r w:rsidRPr="003172D0">
        <w:rPr>
          <w:iCs/>
        </w:rPr>
        <w:t xml:space="preserve">. The relationships in the diagram should be easily understood by general, non-technical audiences. Indicate the </w:t>
      </w:r>
      <w:r w:rsidR="00F90F82" w:rsidRPr="003172D0">
        <w:rPr>
          <w:iCs/>
        </w:rPr>
        <w:t xml:space="preserve">structure, </w:t>
      </w:r>
      <w:r w:rsidRPr="003172D0">
        <w:rPr>
          <w:iCs/>
        </w:rPr>
        <w:t>process or outcome being measured.</w:t>
      </w:r>
    </w:p>
    <w:p w14:paraId="1DC6258C" w14:textId="48F388C1" w:rsidR="00DA70D2" w:rsidRDefault="00187B25" w:rsidP="00E73196">
      <w:pPr>
        <w:pBdr>
          <w:top w:val="single" w:sz="4" w:space="1" w:color="auto"/>
          <w:left w:val="single" w:sz="4" w:space="4" w:color="auto"/>
          <w:bottom w:val="single" w:sz="4" w:space="1" w:color="auto"/>
          <w:right w:val="single" w:sz="4" w:space="4" w:color="auto"/>
        </w:pBdr>
        <w:spacing w:after="240"/>
        <w:ind w:left="0" w:firstLine="0"/>
      </w:pPr>
      <w:r>
        <w:rPr>
          <w:noProof/>
        </w:rPr>
        <w:drawing>
          <wp:inline distT="0" distB="0" distL="0" distR="0" wp14:anchorId="41D2209E" wp14:editId="7F7215CE">
            <wp:extent cx="5781675" cy="2543175"/>
            <wp:effectExtent l="76200" t="95250" r="85725" b="142875"/>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14:paraId="742737A7" w14:textId="07B29ADD" w:rsidR="00435B7B" w:rsidRPr="000E19C4" w:rsidRDefault="00E16B7D" w:rsidP="00E73196">
      <w:pPr>
        <w:pBdr>
          <w:top w:val="single" w:sz="4" w:space="1" w:color="auto"/>
          <w:left w:val="single" w:sz="4" w:space="4" w:color="auto"/>
          <w:bottom w:val="single" w:sz="4" w:space="1" w:color="auto"/>
          <w:right w:val="single" w:sz="4" w:space="4" w:color="auto"/>
        </w:pBdr>
        <w:spacing w:after="240"/>
        <w:ind w:left="0" w:firstLine="0"/>
        <w:rPr>
          <w:rFonts w:cs="Arial"/>
          <w:spacing w:val="-1"/>
        </w:rPr>
      </w:pPr>
      <w:r w:rsidRPr="000E19C4">
        <w:t>CABG is a priority area for outcome measure development because it is a common procedure associated with considerable morbidity, mortality, and health care spending. Acute myocardial infarction and coronary atherosclerosis, which are often treated by CABG procedures, represent the 5</w:t>
      </w:r>
      <w:r w:rsidRPr="000E19C4">
        <w:rPr>
          <w:vertAlign w:val="superscript"/>
        </w:rPr>
        <w:t>th</w:t>
      </w:r>
      <w:r w:rsidRPr="000E19C4">
        <w:t xml:space="preserve"> and 9</w:t>
      </w:r>
      <w:r w:rsidRPr="000E19C4">
        <w:rPr>
          <w:vertAlign w:val="superscript"/>
        </w:rPr>
        <w:t>th</w:t>
      </w:r>
      <w:r w:rsidRPr="000E19C4">
        <w:t xml:space="preserve"> most costly conditions in the US across all ages and payers</w:t>
      </w:r>
      <w:r w:rsidR="00610A56">
        <w:t xml:space="preserve"> respectively</w:t>
      </w:r>
      <w:r w:rsidRPr="000E19C4">
        <w:t xml:space="preserve">, despite being relatively less common reasons for inpatient admission; </w:t>
      </w:r>
      <w:r w:rsidR="00717C03">
        <w:t xml:space="preserve">the ranking for </w:t>
      </w:r>
      <w:r w:rsidRPr="000E19C4">
        <w:t>the</w:t>
      </w:r>
      <w:r w:rsidR="00717C03">
        <w:t>se conditions</w:t>
      </w:r>
      <w:r w:rsidRPr="000E19C4">
        <w:t xml:space="preserve"> rises among patients 65 years and older</w:t>
      </w:r>
      <w:r w:rsidR="00A56920" w:rsidRPr="000E19C4">
        <w:t xml:space="preserve"> (Torio et al., </w:t>
      </w:r>
      <w:r w:rsidR="00C25084" w:rsidRPr="000E19C4">
        <w:t>2016)</w:t>
      </w:r>
      <w:r w:rsidRPr="000E19C4">
        <w:t xml:space="preserve">. </w:t>
      </w:r>
      <w:r w:rsidR="00436B06" w:rsidRPr="00370CFB">
        <w:rPr>
          <w:rFonts w:cstheme="minorHAnsi"/>
        </w:rPr>
        <w:t>In fiscal year 2014, isolated CABG surgeries accounted for almost half (40.59%) of all cardiac surgery hospital</w:t>
      </w:r>
      <w:r w:rsidR="00436B06">
        <w:rPr>
          <w:rFonts w:cstheme="minorHAnsi"/>
        </w:rPr>
        <w:t xml:space="preserve"> admissions in Massachusetts </w:t>
      </w:r>
      <w:r w:rsidR="00436B06" w:rsidRPr="00370CFB">
        <w:t>(Massachu</w:t>
      </w:r>
      <w:r w:rsidR="00436B06">
        <w:t>setts Data Analysis Center, 2014</w:t>
      </w:r>
      <w:r w:rsidR="00436B06" w:rsidRPr="00370CFB">
        <w:t>).</w:t>
      </w:r>
      <w:r w:rsidR="00436B06" w:rsidRPr="00370CFB">
        <w:rPr>
          <w:rFonts w:cstheme="minorHAnsi"/>
        </w:rPr>
        <w:t xml:space="preserve"> In 2014, the average Medicare payment was $32,499 for CABG without valve and $45,873 for CABG plus </w:t>
      </w:r>
      <w:r w:rsidR="00436B06" w:rsidRPr="00370CFB">
        <w:rPr>
          <w:rFonts w:cstheme="minorHAnsi"/>
        </w:rPr>
        <w:lastRenderedPageBreak/>
        <w:t>valve surger</w:t>
      </w:r>
      <w:r w:rsidR="00436B06">
        <w:rPr>
          <w:rFonts w:cstheme="minorHAnsi"/>
        </w:rPr>
        <w:t xml:space="preserve">ies </w:t>
      </w:r>
      <w:r w:rsidR="00436B06" w:rsidRPr="00370CFB">
        <w:rPr>
          <w:rFonts w:cstheme="minorHAnsi"/>
        </w:rPr>
        <w:t>(Drye et al., 2009; Pennsylvania Health Care Cost Containment Council, 2014).</w:t>
      </w:r>
      <w:r w:rsidRPr="000E19C4">
        <w:t xml:space="preserve"> While mortality following CABG surgery has been declining</w:t>
      </w:r>
      <w:r w:rsidR="00CA3111" w:rsidRPr="000E19C4">
        <w:t xml:space="preserve"> gradually over the last several years</w:t>
      </w:r>
      <w:r w:rsidRPr="000E19C4">
        <w:t xml:space="preserve">, observed 30-day mortality remains about 3.2% in the United States, while 90-day mortality </w:t>
      </w:r>
      <w:r w:rsidR="00CA3111" w:rsidRPr="000E19C4">
        <w:t>is</w:t>
      </w:r>
      <w:r w:rsidRPr="000E19C4">
        <w:t xml:space="preserve"> 4.8% (Medicare Fee-For-Service data, July 1, 2013 – June 30, 2016). </w:t>
      </w:r>
      <w:r w:rsidR="00435B7B" w:rsidRPr="000E19C4">
        <w:rPr>
          <w:rFonts w:cs="Arial"/>
          <w:spacing w:val="-1"/>
        </w:rPr>
        <w:t>Furthermore, there was considerable</w:t>
      </w:r>
      <w:r w:rsidR="00435B7B" w:rsidRPr="000E19C4">
        <w:rPr>
          <w:rFonts w:cs="Arial"/>
          <w:spacing w:val="-7"/>
        </w:rPr>
        <w:t xml:space="preserve"> </w:t>
      </w:r>
      <w:r w:rsidR="00435B7B" w:rsidRPr="000E19C4">
        <w:rPr>
          <w:rFonts w:cs="Arial"/>
          <w:spacing w:val="-1"/>
        </w:rPr>
        <w:t>variability</w:t>
      </w:r>
      <w:r w:rsidR="00435B7B" w:rsidRPr="000E19C4">
        <w:rPr>
          <w:rFonts w:cs="Arial"/>
          <w:spacing w:val="-7"/>
        </w:rPr>
        <w:t xml:space="preserve"> </w:t>
      </w:r>
      <w:r w:rsidR="00435B7B" w:rsidRPr="000E19C4">
        <w:rPr>
          <w:rFonts w:cs="Arial"/>
        </w:rPr>
        <w:t>in</w:t>
      </w:r>
      <w:r w:rsidR="00435B7B" w:rsidRPr="000E19C4">
        <w:rPr>
          <w:rFonts w:cs="Arial"/>
          <w:spacing w:val="-7"/>
        </w:rPr>
        <w:t xml:space="preserve"> </w:t>
      </w:r>
      <w:r w:rsidR="00435B7B" w:rsidRPr="000E19C4">
        <w:rPr>
          <w:rFonts w:cs="Arial"/>
        </w:rPr>
        <w:t>the</w:t>
      </w:r>
      <w:r w:rsidR="00435B7B" w:rsidRPr="000E19C4">
        <w:rPr>
          <w:rFonts w:cs="Arial"/>
          <w:spacing w:val="-6"/>
        </w:rPr>
        <w:t xml:space="preserve"> </w:t>
      </w:r>
      <w:r w:rsidR="00435B7B" w:rsidRPr="000E19C4">
        <w:rPr>
          <w:rFonts w:cs="Arial"/>
          <w:spacing w:val="-1"/>
        </w:rPr>
        <w:t>observed</w:t>
      </w:r>
      <w:r w:rsidR="00435B7B" w:rsidRPr="000E19C4">
        <w:rPr>
          <w:rFonts w:cs="Arial"/>
          <w:spacing w:val="-7"/>
        </w:rPr>
        <w:t xml:space="preserve"> </w:t>
      </w:r>
      <w:r w:rsidR="00435B7B" w:rsidRPr="000E19C4">
        <w:rPr>
          <w:rFonts w:cs="Arial"/>
          <w:spacing w:val="-1"/>
        </w:rPr>
        <w:t>overall</w:t>
      </w:r>
      <w:r w:rsidR="00435B7B" w:rsidRPr="000E19C4">
        <w:rPr>
          <w:rFonts w:cs="Arial"/>
          <w:spacing w:val="-7"/>
        </w:rPr>
        <w:t xml:space="preserve"> </w:t>
      </w:r>
      <w:r w:rsidR="00435B7B" w:rsidRPr="000E19C4">
        <w:rPr>
          <w:rFonts w:cs="Arial"/>
          <w:spacing w:val="-1"/>
        </w:rPr>
        <w:t>90-day</w:t>
      </w:r>
      <w:r w:rsidR="00435B7B" w:rsidRPr="000E19C4">
        <w:rPr>
          <w:rFonts w:cs="Arial"/>
          <w:spacing w:val="-6"/>
        </w:rPr>
        <w:t xml:space="preserve"> </w:t>
      </w:r>
      <w:r w:rsidR="00435B7B" w:rsidRPr="000E19C4">
        <w:rPr>
          <w:rFonts w:cs="Arial"/>
          <w:spacing w:val="-1"/>
        </w:rPr>
        <w:t>mortality</w:t>
      </w:r>
      <w:r w:rsidR="00435B7B" w:rsidRPr="000E19C4">
        <w:rPr>
          <w:rFonts w:cs="Arial"/>
          <w:spacing w:val="-6"/>
        </w:rPr>
        <w:t xml:space="preserve"> </w:t>
      </w:r>
      <w:r w:rsidR="003172D0" w:rsidRPr="000E19C4">
        <w:rPr>
          <w:rFonts w:cs="Arial"/>
          <w:spacing w:val="-1"/>
        </w:rPr>
        <w:t>rate</w:t>
      </w:r>
      <w:r w:rsidR="00FA2CB8">
        <w:rPr>
          <w:rFonts w:cs="Arial"/>
          <w:spacing w:val="-1"/>
        </w:rPr>
        <w:t>s among hospitals</w:t>
      </w:r>
      <w:r w:rsidR="003172D0" w:rsidRPr="000E19C4">
        <w:rPr>
          <w:rFonts w:cs="Arial"/>
          <w:spacing w:val="-1"/>
        </w:rPr>
        <w:t xml:space="preserve">, </w:t>
      </w:r>
      <w:r w:rsidR="00435B7B" w:rsidRPr="000E19C4">
        <w:rPr>
          <w:rFonts w:cs="Arial"/>
          <w:spacing w:val="-1"/>
        </w:rPr>
        <w:t>with</w:t>
      </w:r>
      <w:r w:rsidR="00435B7B" w:rsidRPr="000E19C4">
        <w:rPr>
          <w:rFonts w:cs="Arial"/>
          <w:spacing w:val="-5"/>
        </w:rPr>
        <w:t xml:space="preserve"> </w:t>
      </w:r>
      <w:r w:rsidR="00435B7B" w:rsidRPr="000E19C4">
        <w:rPr>
          <w:rFonts w:cs="Arial"/>
        </w:rPr>
        <w:t>a</w:t>
      </w:r>
      <w:r w:rsidR="00435B7B" w:rsidRPr="000E19C4">
        <w:rPr>
          <w:rFonts w:cs="Arial"/>
          <w:spacing w:val="-5"/>
        </w:rPr>
        <w:t xml:space="preserve"> </w:t>
      </w:r>
      <w:r w:rsidR="00E73196" w:rsidRPr="000E19C4">
        <w:rPr>
          <w:rFonts w:cs="Arial"/>
        </w:rPr>
        <w:t>10</w:t>
      </w:r>
      <w:r w:rsidR="00E73196" w:rsidRPr="000E19C4">
        <w:rPr>
          <w:rFonts w:cs="Arial"/>
          <w:vertAlign w:val="superscript"/>
        </w:rPr>
        <w:t>th</w:t>
      </w:r>
      <w:r w:rsidR="00E73196" w:rsidRPr="000E19C4">
        <w:rPr>
          <w:rFonts w:cs="Arial"/>
        </w:rPr>
        <w:t xml:space="preserve"> </w:t>
      </w:r>
      <w:r w:rsidR="00435B7B" w:rsidRPr="000E19C4">
        <w:rPr>
          <w:rFonts w:cs="Arial"/>
          <w:spacing w:val="-1"/>
        </w:rPr>
        <w:t>percentile</w:t>
      </w:r>
      <w:r w:rsidR="00435B7B" w:rsidRPr="000E19C4">
        <w:rPr>
          <w:rFonts w:cs="Arial"/>
          <w:spacing w:val="-5"/>
        </w:rPr>
        <w:t xml:space="preserve"> </w:t>
      </w:r>
      <w:r w:rsidR="00435B7B" w:rsidRPr="000E19C4">
        <w:rPr>
          <w:rFonts w:cs="Arial"/>
        </w:rPr>
        <w:t>of</w:t>
      </w:r>
      <w:r w:rsidR="00435B7B" w:rsidRPr="000E19C4">
        <w:rPr>
          <w:rFonts w:cs="Arial"/>
          <w:spacing w:val="-5"/>
        </w:rPr>
        <w:t xml:space="preserve"> </w:t>
      </w:r>
      <w:r w:rsidR="00435B7B" w:rsidRPr="000E19C4">
        <w:rPr>
          <w:rFonts w:cs="Arial"/>
          <w:spacing w:val="-1"/>
        </w:rPr>
        <w:t>6.9%</w:t>
      </w:r>
      <w:r w:rsidR="00435B7B" w:rsidRPr="000E19C4">
        <w:rPr>
          <w:rFonts w:cs="Arial"/>
          <w:spacing w:val="-6"/>
        </w:rPr>
        <w:t xml:space="preserve"> </w:t>
      </w:r>
      <w:r w:rsidR="00435B7B" w:rsidRPr="000E19C4">
        <w:rPr>
          <w:rFonts w:cs="Arial"/>
        </w:rPr>
        <w:t>and</w:t>
      </w:r>
      <w:r w:rsidR="00435B7B" w:rsidRPr="000E19C4">
        <w:rPr>
          <w:rFonts w:cs="Arial"/>
          <w:spacing w:val="-4"/>
        </w:rPr>
        <w:t xml:space="preserve"> </w:t>
      </w:r>
      <w:r w:rsidR="00435B7B" w:rsidRPr="000E19C4">
        <w:rPr>
          <w:rFonts w:cs="Arial"/>
        </w:rPr>
        <w:t>a</w:t>
      </w:r>
      <w:r w:rsidR="00435B7B" w:rsidRPr="000E19C4">
        <w:rPr>
          <w:rFonts w:cs="Arial"/>
          <w:spacing w:val="-6"/>
        </w:rPr>
        <w:t xml:space="preserve"> </w:t>
      </w:r>
      <w:r w:rsidR="00E73196" w:rsidRPr="000E19C4">
        <w:rPr>
          <w:rFonts w:cs="Arial"/>
          <w:spacing w:val="-1"/>
        </w:rPr>
        <w:t>90</w:t>
      </w:r>
      <w:r w:rsidR="00E73196" w:rsidRPr="000E19C4">
        <w:rPr>
          <w:rFonts w:cs="Arial"/>
          <w:spacing w:val="-1"/>
          <w:vertAlign w:val="superscript"/>
        </w:rPr>
        <w:t>th</w:t>
      </w:r>
      <w:r w:rsidR="00E73196" w:rsidRPr="000E19C4">
        <w:rPr>
          <w:rFonts w:cs="Arial"/>
          <w:spacing w:val="-1"/>
        </w:rPr>
        <w:t xml:space="preserve"> </w:t>
      </w:r>
      <w:r w:rsidR="00435B7B" w:rsidRPr="000E19C4">
        <w:rPr>
          <w:rFonts w:cs="Arial"/>
          <w:spacing w:val="-1"/>
        </w:rPr>
        <w:t>percentile</w:t>
      </w:r>
      <w:r w:rsidR="00435B7B" w:rsidRPr="000E19C4">
        <w:rPr>
          <w:rFonts w:cs="Arial"/>
          <w:spacing w:val="-6"/>
        </w:rPr>
        <w:t xml:space="preserve"> </w:t>
      </w:r>
      <w:r w:rsidR="00435B7B" w:rsidRPr="000E19C4">
        <w:rPr>
          <w:rFonts w:cs="Arial"/>
        </w:rPr>
        <w:t>of</w:t>
      </w:r>
      <w:r w:rsidR="00435B7B" w:rsidRPr="000E19C4">
        <w:rPr>
          <w:rFonts w:cs="Arial"/>
          <w:spacing w:val="-5"/>
        </w:rPr>
        <w:t xml:space="preserve"> </w:t>
      </w:r>
      <w:r w:rsidR="00435B7B" w:rsidRPr="000E19C4">
        <w:rPr>
          <w:rFonts w:cs="Arial"/>
          <w:spacing w:val="-1"/>
        </w:rPr>
        <w:t>18.8%</w:t>
      </w:r>
      <w:r w:rsidR="0049552A">
        <w:rPr>
          <w:rFonts w:cs="Arial"/>
          <w:spacing w:val="-1"/>
        </w:rPr>
        <w:t xml:space="preserve"> (</w:t>
      </w:r>
      <w:r w:rsidR="0049552A" w:rsidRPr="000E19C4">
        <w:t>Measure Reevaluation Focused Empirical Analysis</w:t>
      </w:r>
      <w:r w:rsidR="00DC4E46">
        <w:t>, 2017)</w:t>
      </w:r>
      <w:r w:rsidR="00435B7B" w:rsidRPr="000E19C4">
        <w:rPr>
          <w:rFonts w:cs="Arial"/>
          <w:spacing w:val="-1"/>
        </w:rPr>
        <w:t>. Variation</w:t>
      </w:r>
      <w:r w:rsidR="00435B7B" w:rsidRPr="000E19C4">
        <w:rPr>
          <w:rFonts w:cs="Arial"/>
        </w:rPr>
        <w:t xml:space="preserve"> </w:t>
      </w:r>
      <w:r w:rsidR="00435B7B" w:rsidRPr="000E19C4">
        <w:rPr>
          <w:rFonts w:cs="Arial"/>
          <w:spacing w:val="-1"/>
        </w:rPr>
        <w:t>in</w:t>
      </w:r>
      <w:r w:rsidR="00435B7B" w:rsidRPr="000E19C4">
        <w:rPr>
          <w:rFonts w:cs="Arial"/>
        </w:rPr>
        <w:t xml:space="preserve"> </w:t>
      </w:r>
      <w:r w:rsidR="00435B7B" w:rsidRPr="000E19C4">
        <w:rPr>
          <w:rFonts w:cs="Arial"/>
          <w:spacing w:val="-1"/>
        </w:rPr>
        <w:t>these</w:t>
      </w:r>
      <w:r w:rsidR="00435B7B" w:rsidRPr="000E19C4">
        <w:rPr>
          <w:rFonts w:cs="Arial"/>
          <w:spacing w:val="-2"/>
        </w:rPr>
        <w:t xml:space="preserve"> </w:t>
      </w:r>
      <w:r w:rsidR="00435B7B" w:rsidRPr="000E19C4">
        <w:rPr>
          <w:rFonts w:cs="Arial"/>
          <w:spacing w:val="-1"/>
        </w:rPr>
        <w:t>rates</w:t>
      </w:r>
      <w:r w:rsidR="00435B7B" w:rsidRPr="000E19C4">
        <w:rPr>
          <w:rFonts w:cs="Arial"/>
          <w:spacing w:val="-2"/>
        </w:rPr>
        <w:t xml:space="preserve"> </w:t>
      </w:r>
      <w:r w:rsidR="00435B7B" w:rsidRPr="000E19C4">
        <w:rPr>
          <w:rFonts w:cs="Arial"/>
          <w:spacing w:val="-1"/>
        </w:rPr>
        <w:t>suggests</w:t>
      </w:r>
      <w:r w:rsidR="00435B7B" w:rsidRPr="000E19C4">
        <w:rPr>
          <w:rFonts w:cs="Arial"/>
          <w:spacing w:val="-2"/>
        </w:rPr>
        <w:t xml:space="preserve"> </w:t>
      </w:r>
      <w:r w:rsidR="00435B7B" w:rsidRPr="000E19C4">
        <w:rPr>
          <w:rFonts w:cs="Arial"/>
          <w:spacing w:val="-1"/>
        </w:rPr>
        <w:t>that there</w:t>
      </w:r>
      <w:r w:rsidR="00435B7B" w:rsidRPr="000E19C4">
        <w:rPr>
          <w:rFonts w:cs="Arial"/>
          <w:spacing w:val="-2"/>
        </w:rPr>
        <w:t xml:space="preserve"> </w:t>
      </w:r>
      <w:r w:rsidR="00435B7B" w:rsidRPr="000E19C4">
        <w:rPr>
          <w:rFonts w:cs="Arial"/>
          <w:spacing w:val="-1"/>
        </w:rPr>
        <w:t>is</w:t>
      </w:r>
      <w:r w:rsidR="00435B7B" w:rsidRPr="000E19C4">
        <w:rPr>
          <w:rFonts w:cs="Arial"/>
          <w:spacing w:val="1"/>
        </w:rPr>
        <w:t xml:space="preserve"> </w:t>
      </w:r>
      <w:r w:rsidR="00435B7B" w:rsidRPr="000E19C4">
        <w:rPr>
          <w:rFonts w:cs="Arial"/>
          <w:spacing w:val="-1"/>
        </w:rPr>
        <w:t xml:space="preserve">room </w:t>
      </w:r>
      <w:r w:rsidR="00435B7B" w:rsidRPr="000E19C4">
        <w:rPr>
          <w:rFonts w:cs="Arial"/>
        </w:rPr>
        <w:t>for</w:t>
      </w:r>
      <w:r w:rsidR="00435B7B" w:rsidRPr="000E19C4">
        <w:rPr>
          <w:rFonts w:cs="Arial"/>
          <w:spacing w:val="-1"/>
        </w:rPr>
        <w:t xml:space="preserve"> improvement. </w:t>
      </w:r>
    </w:p>
    <w:p w14:paraId="7CF993C5" w14:textId="22698562" w:rsidR="00FD2D4E" w:rsidRPr="00957B3B" w:rsidRDefault="00435B7B" w:rsidP="00957B3B">
      <w:pPr>
        <w:pBdr>
          <w:top w:val="single" w:sz="4" w:space="1" w:color="auto"/>
          <w:left w:val="single" w:sz="4" w:space="4" w:color="auto"/>
          <w:bottom w:val="single" w:sz="4" w:space="1" w:color="auto"/>
          <w:right w:val="single" w:sz="4" w:space="4" w:color="auto"/>
        </w:pBdr>
        <w:spacing w:after="240"/>
        <w:ind w:left="0" w:firstLine="0"/>
        <w:rPr>
          <w:color w:val="000000"/>
        </w:rPr>
      </w:pPr>
      <w:r w:rsidRPr="000E19C4">
        <w:rPr>
          <w:rFonts w:cs="Arial"/>
        </w:rPr>
        <w:t>Care following hospital discharge from the index operation impacts postoperative mortality</w:t>
      </w:r>
      <w:r w:rsidR="00CA3111" w:rsidRPr="000E19C4">
        <w:rPr>
          <w:rFonts w:cs="Arial"/>
        </w:rPr>
        <w:t xml:space="preserve">. The impact of this care </w:t>
      </w:r>
      <w:r w:rsidR="00717C03">
        <w:rPr>
          <w:rFonts w:cs="Arial"/>
        </w:rPr>
        <w:t>following an</w:t>
      </w:r>
      <w:r w:rsidR="00CA3111" w:rsidRPr="000E19C4">
        <w:rPr>
          <w:rFonts w:cs="Arial"/>
        </w:rPr>
        <w:t xml:space="preserve"> initial CABG surgery</w:t>
      </w:r>
      <w:r w:rsidRPr="000E19C4">
        <w:rPr>
          <w:rFonts w:cs="Arial"/>
        </w:rPr>
        <w:t xml:space="preserve"> </w:t>
      </w:r>
      <w:r w:rsidR="00797904" w:rsidRPr="000E19C4">
        <w:rPr>
          <w:rFonts w:cs="Arial"/>
        </w:rPr>
        <w:t xml:space="preserve">may </w:t>
      </w:r>
      <w:r w:rsidRPr="000E19C4">
        <w:rPr>
          <w:rFonts w:cs="Arial"/>
        </w:rPr>
        <w:t xml:space="preserve">not be adequately captured within </w:t>
      </w:r>
      <w:r w:rsidR="00CA3111" w:rsidRPr="000E19C4">
        <w:rPr>
          <w:rFonts w:cs="Arial"/>
        </w:rPr>
        <w:t>a</w:t>
      </w:r>
      <w:r w:rsidRPr="000E19C4">
        <w:rPr>
          <w:rFonts w:cs="Arial"/>
        </w:rPr>
        <w:t xml:space="preserve"> 30-day timeframe</w:t>
      </w:r>
      <w:r w:rsidR="00CA3111" w:rsidRPr="000E19C4">
        <w:rPr>
          <w:rFonts w:cs="Arial"/>
        </w:rPr>
        <w:t>.</w:t>
      </w:r>
      <w:r w:rsidRPr="000E19C4">
        <w:t xml:space="preserve"> </w:t>
      </w:r>
      <w:r w:rsidRPr="000E19C4">
        <w:rPr>
          <w:rFonts w:cs="Arial"/>
        </w:rPr>
        <w:t>Hospitals are responsible for many post-acute care decisions and can further impact outcomes</w:t>
      </w:r>
      <w:r w:rsidR="00CA3111" w:rsidRPr="000E19C4">
        <w:rPr>
          <w:rFonts w:cs="Arial"/>
        </w:rPr>
        <w:t>,</w:t>
      </w:r>
      <w:r w:rsidRPr="000E19C4">
        <w:rPr>
          <w:rFonts w:cs="Arial"/>
        </w:rPr>
        <w:t xml:space="preserve"> including mortality, by enhancing care coordination</w:t>
      </w:r>
      <w:r w:rsidR="00717C03">
        <w:rPr>
          <w:rFonts w:cs="Arial"/>
        </w:rPr>
        <w:t xml:space="preserve"> post-operatively, such as, admission to rehabilitation facilities and programs.</w:t>
      </w:r>
      <w:r w:rsidRPr="000E19C4">
        <w:rPr>
          <w:rFonts w:cs="Arial"/>
        </w:rPr>
        <w:t xml:space="preserve"> </w:t>
      </w:r>
      <w:r w:rsidR="00E16B7D" w:rsidRPr="000E19C4">
        <w:t xml:space="preserve">A 90-day mortality measure offers both an opportunity to capture the effects of peri-operative care </w:t>
      </w:r>
      <w:r w:rsidR="00F179E5" w:rsidRPr="000E19C4">
        <w:t xml:space="preserve">for a complex surgical procedure with an extended recovery period </w:t>
      </w:r>
      <w:r w:rsidR="00E16B7D" w:rsidRPr="000E19C4">
        <w:t xml:space="preserve">beyond 30 days as well as </w:t>
      </w:r>
      <w:r w:rsidR="00E16B7D" w:rsidRPr="000E19C4">
        <w:rPr>
          <w:color w:val="000000"/>
        </w:rPr>
        <w:t xml:space="preserve">the effects of care provided in the post-discharge period that may require </w:t>
      </w:r>
      <w:r w:rsidR="00517AD6" w:rsidRPr="000E19C4">
        <w:rPr>
          <w:color w:val="000000"/>
        </w:rPr>
        <w:t>a</w:t>
      </w:r>
      <w:r w:rsidR="00E16B7D" w:rsidRPr="000E19C4">
        <w:rPr>
          <w:color w:val="000000"/>
        </w:rPr>
        <w:t xml:space="preserve"> mix of post-operative care and medical comorbidity management.</w:t>
      </w:r>
    </w:p>
    <w:p w14:paraId="4A98BF8D" w14:textId="7196692B" w:rsidR="00FD2D4E" w:rsidRPr="000E19C4" w:rsidRDefault="00FD2D4E" w:rsidP="00517AD6">
      <w:pPr>
        <w:pBdr>
          <w:top w:val="single" w:sz="4" w:space="1" w:color="auto"/>
          <w:left w:val="single" w:sz="4" w:space="4" w:color="auto"/>
          <w:bottom w:val="single" w:sz="4" w:space="1" w:color="auto"/>
          <w:right w:val="single" w:sz="4" w:space="4" w:color="auto"/>
        </w:pBdr>
        <w:spacing w:after="240"/>
        <w:ind w:left="432" w:hanging="432"/>
        <w:rPr>
          <w:u w:val="single"/>
        </w:rPr>
      </w:pPr>
      <w:r w:rsidRPr="000E19C4">
        <w:rPr>
          <w:u w:val="single"/>
        </w:rPr>
        <w:t>References</w:t>
      </w:r>
    </w:p>
    <w:p w14:paraId="64A594FD" w14:textId="77777777" w:rsidR="00436B06" w:rsidRDefault="00A74F45" w:rsidP="00853004">
      <w:pPr>
        <w:pBdr>
          <w:top w:val="single" w:sz="4" w:space="1" w:color="auto"/>
          <w:left w:val="single" w:sz="4" w:space="4" w:color="auto"/>
          <w:bottom w:val="single" w:sz="4" w:space="1" w:color="auto"/>
          <w:right w:val="single" w:sz="4" w:space="4" w:color="auto"/>
        </w:pBdr>
        <w:spacing w:after="120"/>
        <w:ind w:left="0" w:firstLine="0"/>
      </w:pPr>
      <w:r w:rsidRPr="000E19C4">
        <w:t xml:space="preserve">Drye E, Krumholz H, Vellanky S, Wang Y. Probing New Conditions and Procedures for New Measure Development: Yale New Haven </w:t>
      </w:r>
      <w:r w:rsidR="0074777F">
        <w:t xml:space="preserve">Health </w:t>
      </w:r>
      <w:r w:rsidRPr="000E19C4">
        <w:t xml:space="preserve">Systems </w:t>
      </w:r>
      <w:r w:rsidR="0074777F" w:rsidRPr="000E19C4">
        <w:t>Corporation</w:t>
      </w:r>
      <w:r w:rsidRPr="000E19C4">
        <w:t>; Center for Outcomes Research and Evaluation; 2009:7.</w:t>
      </w:r>
    </w:p>
    <w:p w14:paraId="75C29E70" w14:textId="0A1BB96F" w:rsidR="00436B06" w:rsidRPr="00436B06" w:rsidRDefault="00436B06" w:rsidP="00853004">
      <w:pPr>
        <w:pBdr>
          <w:top w:val="single" w:sz="4" w:space="1" w:color="auto"/>
          <w:left w:val="single" w:sz="4" w:space="4" w:color="auto"/>
          <w:bottom w:val="single" w:sz="4" w:space="1" w:color="auto"/>
          <w:right w:val="single" w:sz="4" w:space="4" w:color="auto"/>
        </w:pBdr>
        <w:spacing w:after="120"/>
        <w:ind w:left="0" w:firstLine="0"/>
      </w:pPr>
      <w:r w:rsidRPr="00853004">
        <w:rPr>
          <w:rFonts w:cstheme="minorHAnsi"/>
          <w:spacing w:val="-1"/>
        </w:rPr>
        <w:t>Massachusetts Data Analysis Center. Adult Coronary Artery Bypass Graft Surgery in the Commonwealth of Massachusetts. https://www.mass.gov/files/documents/2017/12/14/cabg-fy2014.pdf. Accessed March 23, 2018.</w:t>
      </w:r>
    </w:p>
    <w:p w14:paraId="297E636E" w14:textId="77777777" w:rsidR="00436B06" w:rsidRDefault="00674EEF" w:rsidP="00853004">
      <w:pPr>
        <w:pBdr>
          <w:top w:val="single" w:sz="4" w:space="1" w:color="auto"/>
          <w:left w:val="single" w:sz="4" w:space="4" w:color="auto"/>
          <w:bottom w:val="single" w:sz="4" w:space="1" w:color="auto"/>
          <w:right w:val="single" w:sz="4" w:space="4" w:color="auto"/>
        </w:pBdr>
        <w:spacing w:after="120"/>
        <w:ind w:left="0" w:firstLine="0"/>
      </w:pPr>
      <w:r w:rsidRPr="000E19C4">
        <w:t>Measure Reevaluation Focused Empirical Analysis: Assessment of 90-Day Outcome Period for CABG, AMI, and Hip Fracture EPMs. Chapter 4, Deliverable #77. Submitted September 19, 2017.</w:t>
      </w:r>
    </w:p>
    <w:p w14:paraId="51BE0994" w14:textId="665A1903" w:rsidR="00436B06" w:rsidRPr="00436B06" w:rsidRDefault="00436B06" w:rsidP="00853004">
      <w:pPr>
        <w:pBdr>
          <w:top w:val="single" w:sz="4" w:space="1" w:color="auto"/>
          <w:left w:val="single" w:sz="4" w:space="4" w:color="auto"/>
          <w:bottom w:val="single" w:sz="4" w:space="1" w:color="auto"/>
          <w:right w:val="single" w:sz="4" w:space="4" w:color="auto"/>
        </w:pBdr>
        <w:spacing w:after="120"/>
        <w:ind w:left="0" w:firstLine="0"/>
      </w:pPr>
      <w:r w:rsidRPr="00853004">
        <w:rPr>
          <w:rFonts w:cstheme="minorHAnsi"/>
        </w:rPr>
        <w:t>Pennsylvania Health Care Cost Containment Council. Hospital Medicare Payment. http://www.phc4.org/reports/cabg/16/docs/Hospital%20Medicare%20Payment.pdf. Accessed March 23, 2018</w:t>
      </w:r>
      <w:r w:rsidRPr="00853004">
        <w:rPr>
          <w:rFonts w:cstheme="minorHAnsi"/>
          <w:spacing w:val="-1"/>
        </w:rPr>
        <w:t>.</w:t>
      </w:r>
    </w:p>
    <w:p w14:paraId="4EEFBBE5" w14:textId="4494B195" w:rsidR="00C71DE9" w:rsidRPr="00F060B3" w:rsidRDefault="00C71DE9" w:rsidP="00853004">
      <w:pPr>
        <w:pBdr>
          <w:top w:val="single" w:sz="4" w:space="1" w:color="auto"/>
          <w:left w:val="single" w:sz="4" w:space="4" w:color="auto"/>
          <w:bottom w:val="single" w:sz="4" w:space="1" w:color="auto"/>
          <w:right w:val="single" w:sz="4" w:space="4" w:color="auto"/>
        </w:pBdr>
        <w:spacing w:after="120"/>
        <w:ind w:left="0" w:firstLine="0"/>
      </w:pPr>
      <w:r w:rsidRPr="000E19C4">
        <w:t xml:space="preserve">Torio CM, Moore BJ. National Inpatient Hospital Costs: The Most Expensive Conditions by Payer, 2013: Statistical Brief #204. Healthcare Cost and Utilization Project (HCUP) Statistical Briefs. Rockville (MD)2016. </w:t>
      </w:r>
    </w:p>
    <w:p w14:paraId="33C7741B" w14:textId="55162E01" w:rsidR="004922E4" w:rsidRPr="004922E4" w:rsidRDefault="004922E4" w:rsidP="004922E4">
      <w:pPr>
        <w:ind w:right="140"/>
        <w:rPr>
          <w:b/>
          <w:iCs/>
        </w:rPr>
      </w:pPr>
      <w:r>
        <w:rPr>
          <w:b/>
          <w:bCs/>
          <w:color w:val="0000FF"/>
        </w:rPr>
        <w:t>1a.3</w:t>
      </w:r>
      <w:r w:rsidRPr="003B1CC5">
        <w:rPr>
          <w:bCs/>
        </w:rPr>
        <w:t xml:space="preserve"> </w:t>
      </w:r>
      <w:r w:rsidRPr="00674EEF">
        <w:rPr>
          <w:b/>
          <w:bCs/>
        </w:rPr>
        <w:t xml:space="preserve">Value and Meaningfulness:  </w:t>
      </w:r>
      <w:r w:rsidRPr="00674EEF">
        <w:rPr>
          <w:bCs/>
        </w:rPr>
        <w:t xml:space="preserve"> </w:t>
      </w:r>
      <w:r w:rsidRPr="00674EEF">
        <w:rPr>
          <w:b/>
          <w:iCs/>
        </w:rPr>
        <w:t xml:space="preserve">IF </w:t>
      </w:r>
      <w:r w:rsidRPr="00674EEF">
        <w:rPr>
          <w:iCs/>
        </w:rPr>
        <w:t xml:space="preserve">this measure is derived from patient report, provide evidence that the target population values the measured </w:t>
      </w:r>
      <w:r w:rsidRPr="00674EEF">
        <w:rPr>
          <w:b/>
          <w:i/>
          <w:iCs/>
        </w:rPr>
        <w:t>outcome, process, or structure</w:t>
      </w:r>
      <w:r w:rsidRPr="00674EEF">
        <w:rPr>
          <w:iCs/>
        </w:rPr>
        <w:t xml:space="preserve"> and finds it meaningful. (Describe how and from whom their input was obtained.)</w:t>
      </w:r>
    </w:p>
    <w:p w14:paraId="55B8DA60" w14:textId="5EBFA481" w:rsidR="00676BD4" w:rsidRPr="00F060B3" w:rsidRDefault="00674EEF" w:rsidP="00F060B3">
      <w:pPr>
        <w:pBdr>
          <w:top w:val="single" w:sz="4" w:space="1" w:color="auto"/>
          <w:left w:val="single" w:sz="4" w:space="4" w:color="auto"/>
          <w:bottom w:val="single" w:sz="4" w:space="1" w:color="auto"/>
          <w:right w:val="single" w:sz="4" w:space="4" w:color="auto"/>
        </w:pBdr>
        <w:spacing w:after="240"/>
        <w:ind w:left="432" w:hanging="432"/>
      </w:pPr>
      <w:r w:rsidRPr="00674EEF">
        <w:t>N/A</w:t>
      </w: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26AB307C" w:rsidR="00496AF8" w:rsidRPr="00C41794" w:rsidRDefault="00B058A6" w:rsidP="00C41794">
      <w:pPr>
        <w:ind w:left="432" w:hanging="432"/>
        <w:rPr>
          <w:b/>
        </w:rPr>
      </w:pPr>
      <w:r w:rsidRPr="00674EEF">
        <w:rPr>
          <w:b/>
          <w:color w:val="0000FF"/>
        </w:rPr>
        <w:t>1</w:t>
      </w:r>
      <w:r w:rsidR="00773485" w:rsidRPr="00674EEF">
        <w:rPr>
          <w:b/>
          <w:color w:val="0000FF"/>
        </w:rPr>
        <w:t>a</w:t>
      </w:r>
      <w:r w:rsidRPr="00674EEF">
        <w:rPr>
          <w:b/>
          <w:color w:val="0000FF"/>
        </w:rPr>
        <w:t>.2</w:t>
      </w:r>
      <w:r w:rsidR="00E41417" w:rsidRPr="00674EEF">
        <w:rPr>
          <w:iCs/>
        </w:rPr>
        <w:t xml:space="preserve"> </w:t>
      </w:r>
      <w:r w:rsidR="00C41794" w:rsidRPr="00674EEF">
        <w:rPr>
          <w:b/>
        </w:rPr>
        <w:t>FOR OUTCOME MEASURES including PATIENT REPORTED OUTCOMES</w:t>
      </w:r>
      <w:r w:rsidR="003D6721" w:rsidRPr="00674EEF">
        <w:rPr>
          <w:b/>
        </w:rPr>
        <w:t xml:space="preserve"> </w:t>
      </w:r>
      <w:r w:rsidR="00C41794" w:rsidRPr="00674EEF">
        <w:rPr>
          <w:b/>
        </w:rPr>
        <w:t>-</w:t>
      </w:r>
      <w:r w:rsidR="00C41794" w:rsidRPr="00674EEF">
        <w:rPr>
          <w:b/>
          <w:iCs/>
        </w:rPr>
        <w:t xml:space="preserve"> </w:t>
      </w:r>
      <w:r w:rsidR="003D6721" w:rsidRPr="00674EEF">
        <w:rPr>
          <w:b/>
          <w:iCs/>
        </w:rPr>
        <w:t xml:space="preserve">Provide empirical data demonstrating </w:t>
      </w:r>
      <w:r w:rsidR="008B51D9" w:rsidRPr="00674EEF">
        <w:rPr>
          <w:b/>
          <w:iCs/>
        </w:rPr>
        <w:t xml:space="preserve">the </w:t>
      </w:r>
      <w:r w:rsidR="005D25E9" w:rsidRPr="00674EEF">
        <w:rPr>
          <w:b/>
          <w:iCs/>
        </w:rPr>
        <w:t xml:space="preserve">relationship </w:t>
      </w:r>
      <w:r w:rsidR="00AC1E53" w:rsidRPr="00674EEF">
        <w:rPr>
          <w:b/>
          <w:iCs/>
        </w:rPr>
        <w:t>between</w:t>
      </w:r>
      <w:r w:rsidR="005D25E9" w:rsidRPr="00674EEF">
        <w:rPr>
          <w:b/>
          <w:iCs/>
        </w:rPr>
        <w:t xml:space="preserve"> the </w:t>
      </w:r>
      <w:r w:rsidR="008B51D9" w:rsidRPr="00674EEF">
        <w:rPr>
          <w:b/>
          <w:iCs/>
        </w:rPr>
        <w:t>outcome</w:t>
      </w:r>
      <w:r w:rsidR="005857F8" w:rsidRPr="00674EEF">
        <w:rPr>
          <w:b/>
          <w:iCs/>
        </w:rPr>
        <w:t xml:space="preserve"> </w:t>
      </w:r>
      <w:r w:rsidR="00AA5587" w:rsidRPr="00674EEF">
        <w:rPr>
          <w:b/>
          <w:iCs/>
        </w:rPr>
        <w:t>(</w:t>
      </w:r>
      <w:r w:rsidR="005857F8" w:rsidRPr="00674EEF">
        <w:rPr>
          <w:b/>
          <w:iCs/>
        </w:rPr>
        <w:t>or PRO</w:t>
      </w:r>
      <w:r w:rsidR="00AA5587" w:rsidRPr="00674EEF">
        <w:rPr>
          <w:b/>
          <w:iCs/>
        </w:rPr>
        <w:t>)</w:t>
      </w:r>
      <w:r w:rsidR="008B51D9" w:rsidRPr="00674EEF">
        <w:rPr>
          <w:b/>
          <w:iCs/>
        </w:rPr>
        <w:t xml:space="preserve"> </w:t>
      </w:r>
      <w:r w:rsidR="005D25E9" w:rsidRPr="00674EEF">
        <w:rPr>
          <w:b/>
          <w:iCs/>
        </w:rPr>
        <w:t>to</w:t>
      </w:r>
      <w:r w:rsidR="00236F87" w:rsidRPr="00674EEF">
        <w:rPr>
          <w:b/>
          <w:iCs/>
        </w:rPr>
        <w:t xml:space="preserve"> </w:t>
      </w:r>
      <w:r w:rsidR="00496AF8" w:rsidRPr="00674EEF">
        <w:rPr>
          <w:b/>
          <w:iCs/>
        </w:rPr>
        <w:t>at least one</w:t>
      </w:r>
      <w:r w:rsidR="009B5BEA" w:rsidRPr="00674EEF">
        <w:rPr>
          <w:b/>
          <w:iCs/>
        </w:rPr>
        <w:t xml:space="preserve"> </w:t>
      </w:r>
      <w:r w:rsidR="003D6721" w:rsidRPr="00674EEF">
        <w:rPr>
          <w:b/>
          <w:iCs/>
        </w:rPr>
        <w:t xml:space="preserve">healthcare structure, process, </w:t>
      </w:r>
      <w:r w:rsidR="00496AF8" w:rsidRPr="00674EEF">
        <w:rPr>
          <w:b/>
          <w:iCs/>
        </w:rPr>
        <w:t>intervention, or service</w:t>
      </w:r>
      <w:r w:rsidR="00676BD4" w:rsidRPr="00674EEF">
        <w:rPr>
          <w:b/>
          <w:iCs/>
        </w:rPr>
        <w:t>.</w:t>
      </w:r>
      <w:r w:rsidR="00AC1E53">
        <w:rPr>
          <w:b/>
          <w:iCs/>
        </w:rPr>
        <w:t xml:space="preserve"> </w:t>
      </w:r>
    </w:p>
    <w:p w14:paraId="64CFD2BB" w14:textId="76AF259E" w:rsidR="00E16EC2" w:rsidRPr="00B45A8E" w:rsidRDefault="00E16EC2" w:rsidP="00B45A8E">
      <w:pPr>
        <w:pStyle w:val="BodyText2"/>
        <w:pBdr>
          <w:top w:val="single" w:sz="4" w:space="1" w:color="auto"/>
          <w:left w:val="single" w:sz="4" w:space="4" w:color="auto"/>
          <w:bottom w:val="single" w:sz="4" w:space="1" w:color="auto"/>
          <w:right w:val="single" w:sz="4" w:space="4" w:color="auto"/>
        </w:pBdr>
        <w:spacing w:after="240"/>
        <w:ind w:left="432"/>
        <w:rPr>
          <w:rFonts w:asciiTheme="minorHAnsi" w:hAnsiTheme="minorHAnsi" w:cs="Arial"/>
          <w:szCs w:val="22"/>
          <w:lang w:val="en-US"/>
        </w:rPr>
      </w:pPr>
      <w:r w:rsidRPr="00B45A8E">
        <w:rPr>
          <w:rFonts w:asciiTheme="minorHAnsi" w:hAnsiTheme="minorHAnsi" w:cs="Arial"/>
          <w:szCs w:val="22"/>
          <w:lang w:val="en-US"/>
        </w:rPr>
        <w:t xml:space="preserve">The outcome is defined as all-cause mortality within 90 days following isolated CABG surgery. </w:t>
      </w:r>
      <w:r w:rsidRPr="00B45A8E">
        <w:rPr>
          <w:rFonts w:asciiTheme="minorHAnsi" w:hAnsiTheme="minorHAnsi" w:cs="Arial"/>
          <w:szCs w:val="22"/>
        </w:rPr>
        <w:t xml:space="preserve">All deaths are considered an outcome, regardless of cause. There are a number of reasons for capturing deaths from any cause in the CABG surgery mortality measure. First, from a patient perspective, a death from any cause is an adverse event. In addition, making inferences about quality issues based solely on the documented cause of death is difficult. For example, a patient hospitalized for </w:t>
      </w:r>
      <w:r w:rsidR="007340C9" w:rsidRPr="00B45A8E">
        <w:rPr>
          <w:rFonts w:asciiTheme="minorHAnsi" w:hAnsiTheme="minorHAnsi" w:cs="Arial"/>
          <w:szCs w:val="22"/>
          <w:lang w:val="en-US"/>
        </w:rPr>
        <w:t xml:space="preserve">a </w:t>
      </w:r>
      <w:r w:rsidRPr="00B45A8E">
        <w:rPr>
          <w:rFonts w:asciiTheme="minorHAnsi" w:hAnsiTheme="minorHAnsi" w:cs="Arial"/>
          <w:szCs w:val="22"/>
        </w:rPr>
        <w:t>CABG surgery who develops a hospital-acquired infection may ultimately die of sepsis and multi-organ failure. In this context, considering the patient’s death unrelated to the care the patient received for the CABG surgery during the index admission would be inappropriate.</w:t>
      </w:r>
      <w:r w:rsidRPr="00B45A8E">
        <w:rPr>
          <w:rFonts w:asciiTheme="minorHAnsi" w:hAnsiTheme="minorHAnsi" w:cs="Arial"/>
          <w:szCs w:val="22"/>
          <w:lang w:val="en-US"/>
        </w:rPr>
        <w:t xml:space="preserve"> </w:t>
      </w:r>
    </w:p>
    <w:p w14:paraId="13D43564" w14:textId="05396EE4" w:rsidR="00E16EC2" w:rsidRPr="00B45A8E" w:rsidRDefault="00E16EC2" w:rsidP="00B45A8E">
      <w:pPr>
        <w:pStyle w:val="BodyText2"/>
        <w:pBdr>
          <w:top w:val="single" w:sz="4" w:space="1" w:color="auto"/>
          <w:left w:val="single" w:sz="4" w:space="4" w:color="auto"/>
          <w:bottom w:val="single" w:sz="4" w:space="1" w:color="auto"/>
          <w:right w:val="single" w:sz="4" w:space="4" w:color="auto"/>
        </w:pBdr>
        <w:spacing w:after="240"/>
        <w:ind w:left="432"/>
        <w:rPr>
          <w:rFonts w:asciiTheme="minorHAnsi" w:hAnsiTheme="minorHAnsi" w:cs="Arial"/>
          <w:szCs w:val="22"/>
          <w:lang w:val="en-US"/>
        </w:rPr>
      </w:pPr>
      <w:r w:rsidRPr="00B45A8E">
        <w:rPr>
          <w:rFonts w:asciiTheme="minorHAnsi" w:hAnsiTheme="minorHAnsi" w:cs="Arial"/>
          <w:szCs w:val="22"/>
          <w:lang w:val="en-US"/>
        </w:rPr>
        <w:t>Seven studies have described factors associated with mortality 90</w:t>
      </w:r>
      <w:r w:rsidR="00BA7900" w:rsidRPr="00B45A8E">
        <w:rPr>
          <w:rFonts w:asciiTheme="minorHAnsi" w:hAnsiTheme="minorHAnsi" w:cs="Arial"/>
          <w:szCs w:val="22"/>
          <w:lang w:val="en-US"/>
        </w:rPr>
        <w:t xml:space="preserve"> </w:t>
      </w:r>
      <w:r w:rsidRPr="00B45A8E">
        <w:rPr>
          <w:rFonts w:asciiTheme="minorHAnsi" w:hAnsiTheme="minorHAnsi" w:cs="Arial"/>
          <w:szCs w:val="22"/>
          <w:lang w:val="en-US"/>
        </w:rPr>
        <w:t xml:space="preserve">days or longer after </w:t>
      </w:r>
      <w:r w:rsidR="00BA7900" w:rsidRPr="00B45A8E">
        <w:rPr>
          <w:rFonts w:asciiTheme="minorHAnsi" w:hAnsiTheme="minorHAnsi" w:cs="Arial"/>
          <w:szCs w:val="22"/>
          <w:lang w:val="en-US"/>
        </w:rPr>
        <w:t xml:space="preserve">a </w:t>
      </w:r>
      <w:r w:rsidRPr="00B45A8E">
        <w:rPr>
          <w:rFonts w:asciiTheme="minorHAnsi" w:hAnsiTheme="minorHAnsi" w:cs="Arial"/>
          <w:szCs w:val="22"/>
          <w:lang w:val="en-US"/>
        </w:rPr>
        <w:t>CABG surgery, including</w:t>
      </w:r>
      <w:r w:rsidR="00CC0379">
        <w:rPr>
          <w:rFonts w:asciiTheme="minorHAnsi" w:hAnsiTheme="minorHAnsi" w:cs="Arial"/>
          <w:szCs w:val="22"/>
          <w:lang w:val="en-US"/>
        </w:rPr>
        <w:t xml:space="preserve">: </w:t>
      </w:r>
      <w:r w:rsidRPr="00B45A8E">
        <w:rPr>
          <w:rFonts w:asciiTheme="minorHAnsi" w:hAnsiTheme="minorHAnsi" w:cs="Arial"/>
          <w:szCs w:val="22"/>
          <w:lang w:val="en-US"/>
        </w:rPr>
        <w:t>the use of wearable cardioverter defibrillators (Zishiri</w:t>
      </w:r>
      <w:r w:rsidR="00A46B80">
        <w:rPr>
          <w:rFonts w:asciiTheme="minorHAnsi" w:hAnsiTheme="minorHAnsi" w:cs="Arial"/>
          <w:szCs w:val="22"/>
          <w:lang w:val="en-US"/>
        </w:rPr>
        <w:t xml:space="preserve"> et al.,</w:t>
      </w:r>
      <w:r w:rsidRPr="00B45A8E">
        <w:rPr>
          <w:rFonts w:asciiTheme="minorHAnsi" w:hAnsiTheme="minorHAnsi" w:cs="Arial"/>
          <w:szCs w:val="22"/>
          <w:lang w:val="en-US"/>
        </w:rPr>
        <w:t xml:space="preserve"> 2013), post-surgical impairment of renal function (Brown</w:t>
      </w:r>
      <w:r w:rsidR="00A46B80">
        <w:rPr>
          <w:rFonts w:asciiTheme="minorHAnsi" w:hAnsiTheme="minorHAnsi" w:cs="Arial"/>
          <w:szCs w:val="22"/>
          <w:lang w:val="en-US"/>
        </w:rPr>
        <w:t xml:space="preserve"> et al.,</w:t>
      </w:r>
      <w:r w:rsidRPr="00B45A8E">
        <w:rPr>
          <w:rFonts w:asciiTheme="minorHAnsi" w:hAnsiTheme="minorHAnsi" w:cs="Arial"/>
          <w:szCs w:val="22"/>
          <w:lang w:val="en-US"/>
        </w:rPr>
        <w:t xml:space="preserve"> 2006), the occurrence of peri-operative stroke (Caceres</w:t>
      </w:r>
      <w:r w:rsidR="00A46B80">
        <w:rPr>
          <w:rFonts w:asciiTheme="minorHAnsi" w:hAnsiTheme="minorHAnsi" w:cs="Arial"/>
          <w:szCs w:val="22"/>
          <w:lang w:val="en-US"/>
        </w:rPr>
        <w:t xml:space="preserve"> et al.,</w:t>
      </w:r>
      <w:r w:rsidRPr="00B45A8E">
        <w:rPr>
          <w:rFonts w:asciiTheme="minorHAnsi" w:hAnsiTheme="minorHAnsi" w:cs="Arial"/>
          <w:szCs w:val="22"/>
          <w:lang w:val="en-US"/>
        </w:rPr>
        <w:t xml:space="preserve"> 2013), revisions of previous CABG surgery (Caceres</w:t>
      </w:r>
      <w:r w:rsidR="00A46B80">
        <w:rPr>
          <w:rFonts w:asciiTheme="minorHAnsi" w:hAnsiTheme="minorHAnsi" w:cs="Arial"/>
          <w:szCs w:val="22"/>
          <w:lang w:val="en-US"/>
        </w:rPr>
        <w:t xml:space="preserve"> et al.,</w:t>
      </w:r>
      <w:r w:rsidRPr="00B45A8E">
        <w:rPr>
          <w:rFonts w:asciiTheme="minorHAnsi" w:hAnsiTheme="minorHAnsi" w:cs="Arial"/>
          <w:szCs w:val="22"/>
          <w:lang w:val="en-US"/>
        </w:rPr>
        <w:t xml:space="preserve"> 2013), pre-operative s-cystatin levels (Dardashti </w:t>
      </w:r>
      <w:r w:rsidR="00A46B80">
        <w:rPr>
          <w:rFonts w:asciiTheme="minorHAnsi" w:hAnsiTheme="minorHAnsi" w:cs="Arial"/>
          <w:szCs w:val="22"/>
          <w:lang w:val="en-US"/>
        </w:rPr>
        <w:t>et al.,</w:t>
      </w:r>
      <w:r w:rsidRPr="00B45A8E">
        <w:rPr>
          <w:rFonts w:asciiTheme="minorHAnsi" w:hAnsiTheme="minorHAnsi" w:cs="Arial"/>
          <w:szCs w:val="22"/>
          <w:lang w:val="en-US"/>
        </w:rPr>
        <w:t>2016), and the use of off-pump coronary artery bypass (OPCAB) procedures (</w:t>
      </w:r>
      <w:r w:rsidR="00F15287" w:rsidRPr="00B45A8E">
        <w:rPr>
          <w:rFonts w:asciiTheme="minorHAnsi" w:hAnsiTheme="minorHAnsi" w:cs="Arial"/>
          <w:szCs w:val="22"/>
          <w:lang w:val="en-US"/>
        </w:rPr>
        <w:t>Eifert</w:t>
      </w:r>
      <w:r w:rsidR="00A46B80">
        <w:rPr>
          <w:rFonts w:asciiTheme="minorHAnsi" w:hAnsiTheme="minorHAnsi" w:cs="Arial"/>
          <w:szCs w:val="22"/>
          <w:lang w:val="en-US"/>
        </w:rPr>
        <w:t xml:space="preserve"> et al., 2010; Hannan et al.,2007; Kirmani et al., </w:t>
      </w:r>
      <w:r w:rsidRPr="00B45A8E">
        <w:rPr>
          <w:rFonts w:asciiTheme="minorHAnsi" w:hAnsiTheme="minorHAnsi" w:cs="Arial"/>
          <w:szCs w:val="22"/>
          <w:lang w:val="en-US"/>
        </w:rPr>
        <w:t xml:space="preserve">2016). These studies suggest that the quality of and variation in </w:t>
      </w:r>
      <w:r w:rsidR="00A46B80">
        <w:rPr>
          <w:rFonts w:asciiTheme="minorHAnsi" w:hAnsiTheme="minorHAnsi" w:cs="Arial"/>
          <w:szCs w:val="22"/>
          <w:lang w:val="en-US"/>
        </w:rPr>
        <w:t xml:space="preserve">care </w:t>
      </w:r>
      <w:r w:rsidRPr="00B45A8E">
        <w:rPr>
          <w:rFonts w:asciiTheme="minorHAnsi" w:hAnsiTheme="minorHAnsi" w:cs="Arial"/>
          <w:szCs w:val="22"/>
          <w:lang w:val="en-US"/>
        </w:rPr>
        <w:t xml:space="preserve">delivered during and after surgery influence patients’ mortality rates within the initial 90 days and beyond. </w:t>
      </w:r>
    </w:p>
    <w:p w14:paraId="4F10EE8E" w14:textId="7EFE3A97" w:rsidR="00E16EC2" w:rsidRPr="00B45A8E" w:rsidRDefault="00E16EC2" w:rsidP="00B45A8E">
      <w:pPr>
        <w:pStyle w:val="BodyText2"/>
        <w:pBdr>
          <w:top w:val="single" w:sz="4" w:space="1" w:color="auto"/>
          <w:left w:val="single" w:sz="4" w:space="4" w:color="auto"/>
          <w:bottom w:val="single" w:sz="4" w:space="1" w:color="auto"/>
          <w:right w:val="single" w:sz="4" w:space="4" w:color="auto"/>
        </w:pBdr>
        <w:spacing w:after="240"/>
        <w:ind w:left="432"/>
        <w:rPr>
          <w:rFonts w:asciiTheme="minorHAnsi" w:hAnsiTheme="minorHAnsi" w:cs="Arial"/>
          <w:color w:val="333333"/>
          <w:szCs w:val="22"/>
          <w:lang w:val="en"/>
        </w:rPr>
      </w:pPr>
      <w:r w:rsidRPr="00B45A8E">
        <w:rPr>
          <w:rFonts w:asciiTheme="minorHAnsi" w:hAnsiTheme="minorHAnsi" w:cs="Arial"/>
          <w:szCs w:val="22"/>
          <w:lang w:val="en-US"/>
        </w:rPr>
        <w:t xml:space="preserve">Further, a </w:t>
      </w:r>
      <w:r w:rsidRPr="00B45A8E">
        <w:rPr>
          <w:rFonts w:asciiTheme="minorHAnsi" w:hAnsiTheme="minorHAnsi" w:cs="Arial"/>
          <w:color w:val="333333"/>
          <w:szCs w:val="22"/>
          <w:lang w:val="en"/>
        </w:rPr>
        <w:t>2-year, mixed-methods interventional study in 10 US hospitals demonstrated that cultural and leadership improvements were significantly associated with improved risk-standardized mortality</w:t>
      </w:r>
      <w:r w:rsidR="00957B3B">
        <w:rPr>
          <w:rFonts w:asciiTheme="minorHAnsi" w:hAnsiTheme="minorHAnsi" w:cs="Arial"/>
          <w:color w:val="333333"/>
          <w:szCs w:val="22"/>
          <w:lang w:val="en"/>
        </w:rPr>
        <w:t xml:space="preserve"> (Curry et al., 2017)</w:t>
      </w:r>
      <w:r w:rsidRPr="00B45A8E">
        <w:rPr>
          <w:rFonts w:asciiTheme="minorHAnsi" w:hAnsiTheme="minorHAnsi" w:cs="Arial"/>
          <w:color w:val="333333"/>
          <w:szCs w:val="22"/>
          <w:lang w:val="en"/>
        </w:rPr>
        <w:t>. The improvements</w:t>
      </w:r>
      <w:r w:rsidR="008B4C61" w:rsidRPr="00B45A8E">
        <w:rPr>
          <w:rFonts w:asciiTheme="minorHAnsi" w:hAnsiTheme="minorHAnsi" w:cs="Arial"/>
          <w:color w:val="333333"/>
          <w:szCs w:val="22"/>
          <w:lang w:val="en"/>
        </w:rPr>
        <w:t xml:space="preserve"> are</w:t>
      </w:r>
      <w:r w:rsidR="00A46B80">
        <w:rPr>
          <w:rFonts w:asciiTheme="minorHAnsi" w:hAnsiTheme="minorHAnsi" w:cs="Arial"/>
          <w:color w:val="333333"/>
          <w:szCs w:val="22"/>
          <w:lang w:val="en"/>
        </w:rPr>
        <w:t xml:space="preserve"> </w:t>
      </w:r>
      <w:r w:rsidRPr="00B45A8E">
        <w:rPr>
          <w:rFonts w:asciiTheme="minorHAnsi" w:hAnsiTheme="minorHAnsi" w:cs="Arial"/>
          <w:color w:val="333333"/>
          <w:szCs w:val="22"/>
          <w:lang w:val="en"/>
        </w:rPr>
        <w:t>encompassed in five domains of organizational culture: (1) learning environment, (2) senior management support, (3) psychological safety, (4) commitment to the organization</w:t>
      </w:r>
      <w:r w:rsidR="008B4C61" w:rsidRPr="00B45A8E">
        <w:rPr>
          <w:rFonts w:asciiTheme="minorHAnsi" w:hAnsiTheme="minorHAnsi" w:cs="Arial"/>
          <w:color w:val="333333"/>
          <w:szCs w:val="22"/>
          <w:lang w:val="en"/>
        </w:rPr>
        <w:t>,</w:t>
      </w:r>
      <w:r w:rsidR="00957B3B">
        <w:rPr>
          <w:rFonts w:asciiTheme="minorHAnsi" w:hAnsiTheme="minorHAnsi" w:cs="Arial"/>
          <w:color w:val="333333"/>
          <w:szCs w:val="22"/>
          <w:lang w:val="en"/>
        </w:rPr>
        <w:t xml:space="preserve"> and (5) time for improvement (Curry et al., 2017)</w:t>
      </w:r>
      <w:r w:rsidR="00957B3B" w:rsidRPr="00B45A8E">
        <w:rPr>
          <w:rFonts w:asciiTheme="minorHAnsi" w:hAnsiTheme="minorHAnsi" w:cs="Arial"/>
          <w:color w:val="333333"/>
          <w:szCs w:val="22"/>
          <w:lang w:val="en"/>
        </w:rPr>
        <w:t>.</w:t>
      </w:r>
    </w:p>
    <w:p w14:paraId="52D01DE8" w14:textId="77777777" w:rsidR="00A46B80" w:rsidRDefault="00E067E7" w:rsidP="00A46B80">
      <w:pPr>
        <w:pStyle w:val="BodyText2"/>
        <w:pBdr>
          <w:top w:val="single" w:sz="4" w:space="1" w:color="auto"/>
          <w:left w:val="single" w:sz="4" w:space="4" w:color="auto"/>
          <w:bottom w:val="single" w:sz="4" w:space="1" w:color="auto"/>
          <w:right w:val="single" w:sz="4" w:space="4" w:color="auto"/>
        </w:pBdr>
        <w:spacing w:after="240"/>
        <w:ind w:left="432"/>
        <w:rPr>
          <w:rFonts w:asciiTheme="minorHAnsi" w:hAnsiTheme="minorHAnsi" w:cs="Arial"/>
          <w:color w:val="333333"/>
          <w:szCs w:val="22"/>
          <w:u w:val="single"/>
          <w:lang w:val="en"/>
        </w:rPr>
      </w:pPr>
      <w:r w:rsidRPr="00B45A8E">
        <w:rPr>
          <w:rFonts w:asciiTheme="minorHAnsi" w:hAnsiTheme="minorHAnsi" w:cs="Arial"/>
          <w:color w:val="333333"/>
          <w:szCs w:val="22"/>
          <w:u w:val="single"/>
          <w:lang w:val="en"/>
        </w:rPr>
        <w:t>References</w:t>
      </w:r>
    </w:p>
    <w:p w14:paraId="2A69D1FD" w14:textId="62170D84" w:rsidR="00ED6A96" w:rsidRPr="00ED6A96" w:rsidRDefault="00ED6A96" w:rsidP="00853004">
      <w:pPr>
        <w:pStyle w:val="BodyText2"/>
        <w:pBdr>
          <w:top w:val="single" w:sz="4" w:space="1" w:color="auto"/>
          <w:left w:val="single" w:sz="4" w:space="4" w:color="auto"/>
          <w:bottom w:val="single" w:sz="4" w:space="1" w:color="auto"/>
          <w:right w:val="single" w:sz="4" w:space="4" w:color="auto"/>
        </w:pBdr>
        <w:spacing w:after="120"/>
        <w:ind w:left="432"/>
        <w:rPr>
          <w:rFonts w:asciiTheme="minorHAnsi" w:hAnsiTheme="minorHAnsi" w:cs="Arial"/>
          <w:color w:val="333333"/>
          <w:szCs w:val="22"/>
          <w:u w:val="single"/>
          <w:lang w:val="en"/>
        </w:rPr>
      </w:pPr>
      <w:r w:rsidRPr="00957B3B">
        <w:rPr>
          <w:rFonts w:asciiTheme="minorHAnsi" w:hAnsiTheme="minorHAnsi"/>
        </w:rPr>
        <w:t xml:space="preserve">Brown JR, Cochran RP, Dacey LJ, et al. Perioperative increases in serum creatinine are predictive of increased 90-day mortality after coronary artery bypass graft surgery. </w:t>
      </w:r>
      <w:r w:rsidRPr="00957B3B">
        <w:rPr>
          <w:rFonts w:asciiTheme="minorHAnsi" w:hAnsiTheme="minorHAnsi"/>
          <w:i/>
        </w:rPr>
        <w:t xml:space="preserve">Circulation </w:t>
      </w:r>
      <w:r w:rsidRPr="00957B3B">
        <w:rPr>
          <w:rFonts w:asciiTheme="minorHAnsi" w:hAnsiTheme="minorHAnsi"/>
        </w:rPr>
        <w:t>2006;114(1 Suppl):I409-413.</w:t>
      </w:r>
    </w:p>
    <w:p w14:paraId="1F4048F7" w14:textId="1BD67FA0" w:rsidR="00A46B80" w:rsidRDefault="00C25084" w:rsidP="00853004">
      <w:pPr>
        <w:pStyle w:val="BodyText2"/>
        <w:pBdr>
          <w:top w:val="single" w:sz="4" w:space="1" w:color="auto"/>
          <w:left w:val="single" w:sz="4" w:space="4" w:color="auto"/>
          <w:bottom w:val="single" w:sz="4" w:space="1" w:color="auto"/>
          <w:right w:val="single" w:sz="4" w:space="4" w:color="auto"/>
        </w:pBdr>
        <w:spacing w:after="120"/>
        <w:ind w:left="432"/>
        <w:rPr>
          <w:rFonts w:asciiTheme="minorHAnsi" w:hAnsiTheme="minorHAnsi" w:cs="Arial"/>
          <w:color w:val="333333"/>
          <w:szCs w:val="22"/>
          <w:u w:val="single"/>
          <w:lang w:val="en"/>
        </w:rPr>
      </w:pPr>
      <w:r w:rsidRPr="00B45A8E">
        <w:rPr>
          <w:rFonts w:asciiTheme="minorHAnsi" w:hAnsiTheme="minorHAnsi" w:cs="Arial"/>
          <w:szCs w:val="22"/>
          <w:lang w:val="en-US"/>
        </w:rPr>
        <w:t xml:space="preserve">Caceres MC, W.; De Robertis, M; Mirocha, J.M.; Czer, L.; Esmailian, F.; Khoynezhad, A.; Ramzy, D.; Kass, R.; Trento, A. Survival and Quality of Life for Nonagenarians After Cardiac Surgery. </w:t>
      </w:r>
      <w:r w:rsidR="00F219CF">
        <w:rPr>
          <w:rFonts w:asciiTheme="minorHAnsi" w:hAnsiTheme="minorHAnsi" w:cs="Arial"/>
          <w:i/>
          <w:szCs w:val="22"/>
          <w:lang w:val="en-US"/>
        </w:rPr>
        <w:t xml:space="preserve">The </w:t>
      </w:r>
      <w:r w:rsidRPr="00D0181C">
        <w:rPr>
          <w:rFonts w:asciiTheme="minorHAnsi" w:hAnsiTheme="minorHAnsi" w:cs="Arial"/>
          <w:i/>
          <w:szCs w:val="22"/>
          <w:lang w:val="en-US"/>
        </w:rPr>
        <w:t>Ann</w:t>
      </w:r>
      <w:r w:rsidR="00F219CF">
        <w:rPr>
          <w:rFonts w:asciiTheme="minorHAnsi" w:hAnsiTheme="minorHAnsi" w:cs="Arial"/>
          <w:i/>
          <w:szCs w:val="22"/>
          <w:lang w:val="en-US"/>
        </w:rPr>
        <w:t>als of</w:t>
      </w:r>
      <w:r w:rsidRPr="00D0181C">
        <w:rPr>
          <w:rFonts w:asciiTheme="minorHAnsi" w:hAnsiTheme="minorHAnsi" w:cs="Arial"/>
          <w:i/>
          <w:szCs w:val="22"/>
          <w:lang w:val="en-US"/>
        </w:rPr>
        <w:t xml:space="preserve"> Thorac</w:t>
      </w:r>
      <w:r w:rsidR="00F219CF">
        <w:rPr>
          <w:rFonts w:asciiTheme="minorHAnsi" w:hAnsiTheme="minorHAnsi" w:cs="Arial"/>
          <w:i/>
          <w:szCs w:val="22"/>
          <w:lang w:val="en-US"/>
        </w:rPr>
        <w:t>ic</w:t>
      </w:r>
      <w:r w:rsidRPr="00D0181C">
        <w:rPr>
          <w:rFonts w:asciiTheme="minorHAnsi" w:hAnsiTheme="minorHAnsi" w:cs="Arial"/>
          <w:i/>
          <w:szCs w:val="22"/>
          <w:lang w:val="en-US"/>
        </w:rPr>
        <w:t xml:space="preserve"> Surg</w:t>
      </w:r>
      <w:r w:rsidR="00F219CF">
        <w:rPr>
          <w:rFonts w:asciiTheme="minorHAnsi" w:hAnsiTheme="minorHAnsi" w:cs="Arial"/>
          <w:i/>
          <w:szCs w:val="22"/>
          <w:lang w:val="en-US"/>
        </w:rPr>
        <w:t>ery</w:t>
      </w:r>
      <w:r w:rsidRPr="00B45A8E">
        <w:rPr>
          <w:rFonts w:asciiTheme="minorHAnsi" w:hAnsiTheme="minorHAnsi" w:cs="Arial"/>
          <w:szCs w:val="22"/>
          <w:lang w:val="en-US"/>
        </w:rPr>
        <w:t xml:space="preserve"> 2013;95:1598-602</w:t>
      </w:r>
    </w:p>
    <w:p w14:paraId="79CA3327" w14:textId="77777777" w:rsidR="00957B3B" w:rsidRPr="00957B3B" w:rsidRDefault="00F15287" w:rsidP="00853004">
      <w:pPr>
        <w:pStyle w:val="BodyText2"/>
        <w:pBdr>
          <w:top w:val="single" w:sz="4" w:space="1" w:color="auto"/>
          <w:left w:val="single" w:sz="4" w:space="4" w:color="auto"/>
          <w:bottom w:val="single" w:sz="4" w:space="1" w:color="auto"/>
          <w:right w:val="single" w:sz="4" w:space="4" w:color="auto"/>
        </w:pBdr>
        <w:spacing w:after="120"/>
        <w:ind w:left="432"/>
        <w:rPr>
          <w:rFonts w:asciiTheme="minorHAnsi" w:hAnsiTheme="minorHAnsi" w:cs="Arial"/>
          <w:color w:val="333333"/>
          <w:szCs w:val="22"/>
          <w:u w:val="single"/>
          <w:lang w:val="en"/>
        </w:rPr>
      </w:pPr>
      <w:r w:rsidRPr="00A46B80">
        <w:rPr>
          <w:rFonts w:asciiTheme="minorHAnsi" w:hAnsiTheme="minorHAnsi" w:cs="Arial"/>
          <w:szCs w:val="22"/>
          <w:lang w:val="en-US"/>
        </w:rPr>
        <w:t xml:space="preserve">Curry LA, Brault MA, Linnander EL, et al. Influencing organisational culture to improve hospital performance in care of patients with acute myocardial infarction: a mixed-methods intervention study. </w:t>
      </w:r>
      <w:r w:rsidRPr="00D0181C">
        <w:rPr>
          <w:rFonts w:asciiTheme="minorHAnsi" w:hAnsiTheme="minorHAnsi" w:cs="Arial"/>
          <w:i/>
          <w:szCs w:val="22"/>
          <w:lang w:val="en-US"/>
        </w:rPr>
        <w:t>BMJ</w:t>
      </w:r>
      <w:r w:rsidRPr="00A46B80">
        <w:rPr>
          <w:rFonts w:asciiTheme="minorHAnsi" w:hAnsiTheme="minorHAnsi" w:cs="Arial"/>
          <w:szCs w:val="22"/>
          <w:lang w:val="en-US"/>
        </w:rPr>
        <w:t xml:space="preserve"> Qual Saf Published Online First: 03 November 2017. doi: </w:t>
      </w:r>
      <w:r w:rsidRPr="00957B3B">
        <w:rPr>
          <w:rFonts w:asciiTheme="minorHAnsi" w:hAnsiTheme="minorHAnsi" w:cs="Arial"/>
          <w:szCs w:val="22"/>
          <w:lang w:val="en-US"/>
        </w:rPr>
        <w:t>10.1136/bmjqs-2017-006989</w:t>
      </w:r>
    </w:p>
    <w:p w14:paraId="2DA1CE9D" w14:textId="0EEAD5A0" w:rsidR="00A46B80" w:rsidRPr="00957B3B" w:rsidRDefault="00D819AA" w:rsidP="00853004">
      <w:pPr>
        <w:pStyle w:val="BodyText2"/>
        <w:pBdr>
          <w:top w:val="single" w:sz="4" w:space="1" w:color="auto"/>
          <w:left w:val="single" w:sz="4" w:space="4" w:color="auto"/>
          <w:bottom w:val="single" w:sz="4" w:space="1" w:color="auto"/>
          <w:right w:val="single" w:sz="4" w:space="4" w:color="auto"/>
        </w:pBdr>
        <w:spacing w:after="120"/>
        <w:ind w:left="432"/>
        <w:rPr>
          <w:rFonts w:asciiTheme="minorHAnsi" w:hAnsiTheme="minorHAnsi" w:cs="Arial"/>
          <w:color w:val="333333"/>
          <w:szCs w:val="22"/>
          <w:u w:val="single"/>
          <w:lang w:val="en"/>
        </w:rPr>
      </w:pPr>
      <w:r w:rsidRPr="00957B3B">
        <w:rPr>
          <w:rFonts w:asciiTheme="minorHAnsi" w:hAnsiTheme="minorHAnsi" w:cs="Arial"/>
          <w:szCs w:val="22"/>
          <w:lang w:val="en-US"/>
        </w:rPr>
        <w:t>Dardashti A</w:t>
      </w:r>
      <w:r w:rsidR="00C76170">
        <w:rPr>
          <w:rFonts w:asciiTheme="minorHAnsi" w:hAnsiTheme="minorHAnsi" w:cs="Arial"/>
          <w:szCs w:val="22"/>
          <w:lang w:val="en-US"/>
        </w:rPr>
        <w:t xml:space="preserve">, </w:t>
      </w:r>
      <w:r w:rsidRPr="00957B3B">
        <w:rPr>
          <w:rFonts w:asciiTheme="minorHAnsi" w:hAnsiTheme="minorHAnsi" w:cs="Arial"/>
          <w:szCs w:val="22"/>
          <w:lang w:val="en-US"/>
        </w:rPr>
        <w:t>N</w:t>
      </w:r>
      <w:r w:rsidR="00C76170">
        <w:rPr>
          <w:rFonts w:asciiTheme="minorHAnsi" w:hAnsiTheme="minorHAnsi" w:cs="Arial"/>
          <w:szCs w:val="22"/>
          <w:lang w:val="en-US"/>
        </w:rPr>
        <w:t>ozohoor S, Algotsson L, Ederoth P, Bjursten</w:t>
      </w:r>
      <w:r w:rsidRPr="00957B3B">
        <w:rPr>
          <w:rFonts w:asciiTheme="minorHAnsi" w:hAnsiTheme="minorHAnsi" w:cs="Arial"/>
          <w:szCs w:val="22"/>
          <w:lang w:val="en-US"/>
        </w:rPr>
        <w:t xml:space="preserve"> H. The predictive value of s-cystatin C for mortality after coronary artery bypass surgery. </w:t>
      </w:r>
      <w:r w:rsidRPr="00D0181C">
        <w:rPr>
          <w:rFonts w:asciiTheme="minorHAnsi" w:hAnsiTheme="minorHAnsi" w:cs="Arial"/>
          <w:i/>
          <w:szCs w:val="22"/>
          <w:lang w:val="en-US"/>
        </w:rPr>
        <w:t>The Journal of Thoracic and Cardiovascular Surgery</w:t>
      </w:r>
      <w:r w:rsidRPr="00957B3B">
        <w:rPr>
          <w:rFonts w:asciiTheme="minorHAnsi" w:hAnsiTheme="minorHAnsi" w:cs="Arial"/>
          <w:szCs w:val="22"/>
          <w:lang w:val="en-US"/>
        </w:rPr>
        <w:t xml:space="preserve"> 2016;152(1):139-46</w:t>
      </w:r>
    </w:p>
    <w:p w14:paraId="3CB32CEA" w14:textId="62120CF3" w:rsidR="00A46B80" w:rsidRDefault="002F3DA4" w:rsidP="00853004">
      <w:pPr>
        <w:pStyle w:val="BodyText2"/>
        <w:pBdr>
          <w:top w:val="single" w:sz="4" w:space="1" w:color="auto"/>
          <w:left w:val="single" w:sz="4" w:space="4" w:color="auto"/>
          <w:bottom w:val="single" w:sz="4" w:space="1" w:color="auto"/>
          <w:right w:val="single" w:sz="4" w:space="4" w:color="auto"/>
        </w:pBdr>
        <w:spacing w:after="120"/>
        <w:ind w:left="432"/>
        <w:rPr>
          <w:rFonts w:asciiTheme="minorHAnsi" w:hAnsiTheme="minorHAnsi" w:cs="Arial"/>
          <w:color w:val="333333"/>
          <w:szCs w:val="22"/>
          <w:u w:val="single"/>
          <w:lang w:val="en"/>
        </w:rPr>
      </w:pPr>
      <w:r w:rsidRPr="00A46B80">
        <w:rPr>
          <w:rFonts w:asciiTheme="minorHAnsi" w:hAnsiTheme="minorHAnsi" w:cs="Arial"/>
          <w:szCs w:val="22"/>
          <w:lang w:val="en-US"/>
        </w:rPr>
        <w:t>Eifert S</w:t>
      </w:r>
      <w:r w:rsidR="008A4486">
        <w:rPr>
          <w:rFonts w:asciiTheme="minorHAnsi" w:hAnsiTheme="minorHAnsi" w:cs="Arial"/>
          <w:szCs w:val="22"/>
          <w:lang w:val="en-US"/>
        </w:rPr>
        <w:t xml:space="preserve">, </w:t>
      </w:r>
      <w:r w:rsidRPr="00A46B80">
        <w:rPr>
          <w:rFonts w:asciiTheme="minorHAnsi" w:hAnsiTheme="minorHAnsi" w:cs="Arial"/>
          <w:szCs w:val="22"/>
          <w:lang w:val="en-US"/>
        </w:rPr>
        <w:t>K</w:t>
      </w:r>
      <w:r w:rsidR="008A4486">
        <w:rPr>
          <w:rFonts w:asciiTheme="minorHAnsi" w:hAnsiTheme="minorHAnsi" w:cs="Arial"/>
          <w:szCs w:val="22"/>
          <w:lang w:val="en-US"/>
        </w:rPr>
        <w:t>illian E, Beiras-Fernandez A, Juchem G, Reichart B, Lamm</w:t>
      </w:r>
      <w:r w:rsidRPr="00A46B80">
        <w:rPr>
          <w:rFonts w:asciiTheme="minorHAnsi" w:hAnsiTheme="minorHAnsi" w:cs="Arial"/>
          <w:szCs w:val="22"/>
          <w:lang w:val="en-US"/>
        </w:rPr>
        <w:t xml:space="preserve"> P. Early and mid term mortality after coronary artery bypass grafting in women depends on the surgical protocol: retrospective analysis of 3441 on- and off-pump coronary artery bypass grafting procedures. </w:t>
      </w:r>
      <w:r w:rsidRPr="00D0181C">
        <w:rPr>
          <w:rFonts w:asciiTheme="minorHAnsi" w:hAnsiTheme="minorHAnsi" w:cs="Arial"/>
          <w:i/>
          <w:szCs w:val="22"/>
          <w:lang w:val="en-US"/>
        </w:rPr>
        <w:t>Journal of Cardiothoracic Surgery</w:t>
      </w:r>
      <w:r w:rsidRPr="00A46B80">
        <w:rPr>
          <w:rFonts w:asciiTheme="minorHAnsi" w:hAnsiTheme="minorHAnsi" w:cs="Arial"/>
          <w:szCs w:val="22"/>
          <w:lang w:val="en-US"/>
        </w:rPr>
        <w:t xml:space="preserve"> 2010;5(90)</w:t>
      </w:r>
    </w:p>
    <w:p w14:paraId="4E606A2A" w14:textId="17A29C32" w:rsidR="00A46B80" w:rsidRDefault="002F3DA4" w:rsidP="00853004">
      <w:pPr>
        <w:pStyle w:val="BodyText2"/>
        <w:pBdr>
          <w:top w:val="single" w:sz="4" w:space="1" w:color="auto"/>
          <w:left w:val="single" w:sz="4" w:space="4" w:color="auto"/>
          <w:bottom w:val="single" w:sz="4" w:space="1" w:color="auto"/>
          <w:right w:val="single" w:sz="4" w:space="4" w:color="auto"/>
        </w:pBdr>
        <w:spacing w:after="120"/>
        <w:ind w:left="432"/>
        <w:rPr>
          <w:rFonts w:asciiTheme="minorHAnsi" w:hAnsiTheme="minorHAnsi" w:cs="Arial"/>
          <w:color w:val="333333"/>
          <w:szCs w:val="22"/>
          <w:u w:val="single"/>
          <w:lang w:val="en"/>
        </w:rPr>
      </w:pPr>
      <w:r w:rsidRPr="00A46B80">
        <w:rPr>
          <w:rFonts w:asciiTheme="minorHAnsi" w:hAnsiTheme="minorHAnsi" w:cs="Arial"/>
          <w:szCs w:val="22"/>
          <w:lang w:val="en-US"/>
        </w:rPr>
        <w:t>Hannan EL</w:t>
      </w:r>
      <w:r w:rsidR="004A5806">
        <w:rPr>
          <w:rFonts w:asciiTheme="minorHAnsi" w:hAnsiTheme="minorHAnsi" w:cs="Arial"/>
          <w:szCs w:val="22"/>
          <w:lang w:val="en-US"/>
        </w:rPr>
        <w:t xml:space="preserve">, </w:t>
      </w:r>
      <w:r w:rsidRPr="00A46B80">
        <w:rPr>
          <w:rFonts w:asciiTheme="minorHAnsi" w:hAnsiTheme="minorHAnsi" w:cs="Arial"/>
          <w:szCs w:val="22"/>
          <w:lang w:val="en-US"/>
        </w:rPr>
        <w:t>W</w:t>
      </w:r>
      <w:r w:rsidR="004A5806">
        <w:rPr>
          <w:rFonts w:asciiTheme="minorHAnsi" w:hAnsiTheme="minorHAnsi" w:cs="Arial"/>
          <w:szCs w:val="22"/>
          <w:lang w:val="en-US"/>
        </w:rPr>
        <w:t>u</w:t>
      </w:r>
      <w:r w:rsidRPr="00A46B80">
        <w:rPr>
          <w:rFonts w:asciiTheme="minorHAnsi" w:hAnsiTheme="minorHAnsi" w:cs="Arial"/>
          <w:szCs w:val="22"/>
          <w:lang w:val="en-US"/>
        </w:rPr>
        <w:t xml:space="preserve"> C</w:t>
      </w:r>
      <w:r w:rsidR="004A5806">
        <w:rPr>
          <w:rFonts w:asciiTheme="minorHAnsi" w:hAnsiTheme="minorHAnsi" w:cs="Arial"/>
          <w:szCs w:val="22"/>
          <w:lang w:val="en-US"/>
        </w:rPr>
        <w:t>, Smith CR, Higgins RS, Carlson RE, Culliford AT, Gold JP,</w:t>
      </w:r>
      <w:r w:rsidRPr="00A46B80">
        <w:rPr>
          <w:rFonts w:asciiTheme="minorHAnsi" w:hAnsiTheme="minorHAnsi" w:cs="Arial"/>
          <w:szCs w:val="22"/>
          <w:lang w:val="en-US"/>
        </w:rPr>
        <w:t xml:space="preserve"> Jones</w:t>
      </w:r>
      <w:r w:rsidR="004A5806">
        <w:rPr>
          <w:rFonts w:asciiTheme="minorHAnsi" w:hAnsiTheme="minorHAnsi" w:cs="Arial"/>
          <w:szCs w:val="22"/>
          <w:lang w:val="en-US"/>
        </w:rPr>
        <w:t xml:space="preserve"> R</w:t>
      </w:r>
      <w:r w:rsidRPr="00A46B80">
        <w:rPr>
          <w:rFonts w:asciiTheme="minorHAnsi" w:hAnsiTheme="minorHAnsi" w:cs="Arial"/>
          <w:szCs w:val="22"/>
          <w:lang w:val="en-US"/>
        </w:rPr>
        <w:t>H. Off-Pump Versus On-Pump Coronary Artery Bypass Graft Surgery</w:t>
      </w:r>
      <w:r w:rsidR="008A4486">
        <w:rPr>
          <w:rFonts w:asciiTheme="minorHAnsi" w:hAnsiTheme="minorHAnsi" w:cs="Arial"/>
          <w:szCs w:val="22"/>
          <w:lang w:val="en-US"/>
        </w:rPr>
        <w:t xml:space="preserve">: </w:t>
      </w:r>
      <w:r w:rsidR="008A4486" w:rsidRPr="008A4486">
        <w:rPr>
          <w:rFonts w:asciiTheme="minorHAnsi" w:hAnsiTheme="minorHAnsi" w:cs="Arial"/>
          <w:szCs w:val="22"/>
          <w:lang w:val="en"/>
        </w:rPr>
        <w:t>differences in short-term outcomes and in long-term mortality and need for subsequent revascularization.</w:t>
      </w:r>
      <w:r w:rsidRPr="00A46B80">
        <w:rPr>
          <w:rFonts w:asciiTheme="minorHAnsi" w:hAnsiTheme="minorHAnsi" w:cs="Arial"/>
          <w:szCs w:val="22"/>
          <w:lang w:val="en-US"/>
        </w:rPr>
        <w:t xml:space="preserve"> </w:t>
      </w:r>
      <w:r w:rsidRPr="00D0181C">
        <w:rPr>
          <w:rFonts w:asciiTheme="minorHAnsi" w:hAnsiTheme="minorHAnsi" w:cs="Arial"/>
          <w:i/>
          <w:szCs w:val="22"/>
          <w:lang w:val="en-US"/>
        </w:rPr>
        <w:t>Circulation</w:t>
      </w:r>
      <w:r w:rsidRPr="00A46B80">
        <w:rPr>
          <w:rFonts w:asciiTheme="minorHAnsi" w:hAnsiTheme="minorHAnsi" w:cs="Arial"/>
          <w:szCs w:val="22"/>
          <w:lang w:val="en-US"/>
        </w:rPr>
        <w:t xml:space="preserve"> 2007;116:1145-52</w:t>
      </w:r>
    </w:p>
    <w:p w14:paraId="291DF245" w14:textId="235FEF76" w:rsidR="00A46B80" w:rsidRDefault="002F3DA4" w:rsidP="00853004">
      <w:pPr>
        <w:pStyle w:val="BodyText2"/>
        <w:pBdr>
          <w:top w:val="single" w:sz="4" w:space="1" w:color="auto"/>
          <w:left w:val="single" w:sz="4" w:space="4" w:color="auto"/>
          <w:bottom w:val="single" w:sz="4" w:space="1" w:color="auto"/>
          <w:right w:val="single" w:sz="4" w:space="4" w:color="auto"/>
        </w:pBdr>
        <w:spacing w:after="120"/>
        <w:ind w:left="432"/>
        <w:rPr>
          <w:rFonts w:asciiTheme="minorHAnsi" w:hAnsiTheme="minorHAnsi" w:cs="Arial"/>
          <w:color w:val="333333"/>
          <w:szCs w:val="22"/>
          <w:u w:val="single"/>
          <w:lang w:val="en"/>
        </w:rPr>
      </w:pPr>
      <w:r w:rsidRPr="00A46B80">
        <w:rPr>
          <w:rFonts w:asciiTheme="minorHAnsi" w:hAnsiTheme="minorHAnsi" w:cs="Arial"/>
          <w:szCs w:val="22"/>
          <w:lang w:val="en-US"/>
        </w:rPr>
        <w:t xml:space="preserve">Kirmani BH, Brazier A, Sriskandarajah S, et al. Long-Term Survival After Off-Pump Coronary Artery Bypass Grafting. </w:t>
      </w:r>
      <w:r w:rsidR="00F219CF">
        <w:rPr>
          <w:rFonts w:asciiTheme="minorHAnsi" w:hAnsiTheme="minorHAnsi" w:cs="Arial"/>
          <w:i/>
          <w:szCs w:val="22"/>
          <w:lang w:val="en-US"/>
        </w:rPr>
        <w:t xml:space="preserve">The </w:t>
      </w:r>
      <w:r w:rsidRPr="00D0181C">
        <w:rPr>
          <w:rFonts w:asciiTheme="minorHAnsi" w:hAnsiTheme="minorHAnsi" w:cs="Arial"/>
          <w:i/>
          <w:szCs w:val="22"/>
          <w:lang w:val="en-US"/>
        </w:rPr>
        <w:t>Ann</w:t>
      </w:r>
      <w:r w:rsidR="00F219CF" w:rsidRPr="00D0181C">
        <w:rPr>
          <w:rFonts w:asciiTheme="minorHAnsi" w:hAnsiTheme="minorHAnsi" w:cs="Arial"/>
          <w:i/>
          <w:szCs w:val="22"/>
          <w:lang w:val="en-US"/>
        </w:rPr>
        <w:t>als of</w:t>
      </w:r>
      <w:r w:rsidRPr="00D0181C">
        <w:rPr>
          <w:rFonts w:asciiTheme="minorHAnsi" w:hAnsiTheme="minorHAnsi" w:cs="Arial"/>
          <w:i/>
          <w:szCs w:val="22"/>
          <w:lang w:val="en-US"/>
        </w:rPr>
        <w:t xml:space="preserve"> Thorac</w:t>
      </w:r>
      <w:r w:rsidR="00F219CF" w:rsidRPr="00D0181C">
        <w:rPr>
          <w:rFonts w:asciiTheme="minorHAnsi" w:hAnsiTheme="minorHAnsi" w:cs="Arial"/>
          <w:i/>
          <w:szCs w:val="22"/>
          <w:lang w:val="en-US"/>
        </w:rPr>
        <w:t>ic</w:t>
      </w:r>
      <w:r w:rsidRPr="00D0181C">
        <w:rPr>
          <w:rFonts w:asciiTheme="minorHAnsi" w:hAnsiTheme="minorHAnsi" w:cs="Arial"/>
          <w:i/>
          <w:szCs w:val="22"/>
          <w:lang w:val="en-US"/>
        </w:rPr>
        <w:t xml:space="preserve"> Surg</w:t>
      </w:r>
      <w:r w:rsidR="00F219CF" w:rsidRPr="00D0181C">
        <w:rPr>
          <w:rFonts w:asciiTheme="minorHAnsi" w:hAnsiTheme="minorHAnsi" w:cs="Arial"/>
          <w:i/>
          <w:szCs w:val="22"/>
          <w:lang w:val="en-US"/>
        </w:rPr>
        <w:t>ery</w:t>
      </w:r>
      <w:r w:rsidRPr="00A46B80">
        <w:rPr>
          <w:rFonts w:asciiTheme="minorHAnsi" w:hAnsiTheme="minorHAnsi" w:cs="Arial"/>
          <w:szCs w:val="22"/>
          <w:lang w:val="en-US"/>
        </w:rPr>
        <w:t xml:space="preserve"> 2016;102(1):22-7 doi: 10.1016/j.athoracsur.2016.04.003[published Online First: Epub Date]|.</w:t>
      </w:r>
    </w:p>
    <w:p w14:paraId="55B8DA65" w14:textId="1F8F1F8D" w:rsidR="00676BD4" w:rsidRPr="00F060B3" w:rsidRDefault="002F3DA4" w:rsidP="00853004">
      <w:pPr>
        <w:pStyle w:val="BodyText2"/>
        <w:pBdr>
          <w:top w:val="single" w:sz="4" w:space="1" w:color="auto"/>
          <w:left w:val="single" w:sz="4" w:space="4" w:color="auto"/>
          <w:bottom w:val="single" w:sz="4" w:space="1" w:color="auto"/>
          <w:right w:val="single" w:sz="4" w:space="4" w:color="auto"/>
        </w:pBdr>
        <w:spacing w:after="120"/>
        <w:ind w:left="432"/>
        <w:rPr>
          <w:rFonts w:asciiTheme="minorHAnsi" w:hAnsiTheme="minorHAnsi" w:cs="Arial"/>
          <w:color w:val="333333"/>
          <w:szCs w:val="22"/>
          <w:u w:val="single"/>
          <w:lang w:val="en"/>
        </w:rPr>
      </w:pPr>
      <w:r w:rsidRPr="00A46B80">
        <w:rPr>
          <w:rFonts w:asciiTheme="minorHAnsi" w:hAnsiTheme="minorHAnsi" w:cs="Arial"/>
          <w:szCs w:val="22"/>
          <w:lang w:val="en-US"/>
        </w:rPr>
        <w:t>Zishiri ET</w:t>
      </w:r>
      <w:r w:rsidR="00F219CF">
        <w:rPr>
          <w:rFonts w:asciiTheme="minorHAnsi" w:hAnsiTheme="minorHAnsi" w:cs="Arial"/>
          <w:szCs w:val="22"/>
          <w:lang w:val="en-US"/>
        </w:rPr>
        <w:t xml:space="preserve">, </w:t>
      </w:r>
      <w:r w:rsidR="004A5806">
        <w:rPr>
          <w:rFonts w:asciiTheme="minorHAnsi" w:hAnsiTheme="minorHAnsi" w:cs="Arial"/>
          <w:szCs w:val="22"/>
          <w:lang w:val="en-US"/>
        </w:rPr>
        <w:t xml:space="preserve">Williams </w:t>
      </w:r>
      <w:r w:rsidRPr="00A46B80">
        <w:rPr>
          <w:rFonts w:asciiTheme="minorHAnsi" w:hAnsiTheme="minorHAnsi" w:cs="Arial"/>
          <w:szCs w:val="22"/>
          <w:lang w:val="en-US"/>
        </w:rPr>
        <w:t>S</w:t>
      </w:r>
      <w:r w:rsidR="00F219CF">
        <w:rPr>
          <w:rFonts w:asciiTheme="minorHAnsi" w:hAnsiTheme="minorHAnsi" w:cs="Arial"/>
          <w:szCs w:val="22"/>
          <w:lang w:val="en-US"/>
        </w:rPr>
        <w:t>,</w:t>
      </w:r>
      <w:r w:rsidRPr="00A46B80">
        <w:rPr>
          <w:rFonts w:asciiTheme="minorHAnsi" w:hAnsiTheme="minorHAnsi" w:cs="Arial"/>
          <w:szCs w:val="22"/>
          <w:lang w:val="en-US"/>
        </w:rPr>
        <w:t xml:space="preserve"> Cronin EM</w:t>
      </w:r>
      <w:r w:rsidR="00F219CF">
        <w:rPr>
          <w:rFonts w:asciiTheme="minorHAnsi" w:hAnsiTheme="minorHAnsi" w:cs="Arial"/>
          <w:szCs w:val="22"/>
          <w:lang w:val="en-US"/>
        </w:rPr>
        <w:t>,</w:t>
      </w:r>
      <w:r w:rsidRPr="00A46B80">
        <w:rPr>
          <w:rFonts w:asciiTheme="minorHAnsi" w:hAnsiTheme="minorHAnsi" w:cs="Arial"/>
          <w:szCs w:val="22"/>
          <w:lang w:val="en-US"/>
        </w:rPr>
        <w:t xml:space="preserve"> Blackstone EH</w:t>
      </w:r>
      <w:r w:rsidR="00F219CF">
        <w:rPr>
          <w:rFonts w:asciiTheme="minorHAnsi" w:hAnsiTheme="minorHAnsi" w:cs="Arial"/>
          <w:szCs w:val="22"/>
          <w:lang w:val="en-US"/>
        </w:rPr>
        <w:t>,</w:t>
      </w:r>
      <w:r w:rsidRPr="00A46B80">
        <w:rPr>
          <w:rFonts w:asciiTheme="minorHAnsi" w:hAnsiTheme="minorHAnsi" w:cs="Arial"/>
          <w:szCs w:val="22"/>
          <w:lang w:val="en-US"/>
        </w:rPr>
        <w:t xml:space="preserve"> Ellis SG</w:t>
      </w:r>
      <w:r w:rsidR="00F219CF">
        <w:rPr>
          <w:rFonts w:asciiTheme="minorHAnsi" w:hAnsiTheme="minorHAnsi" w:cs="Arial"/>
          <w:szCs w:val="22"/>
          <w:lang w:val="en-US"/>
        </w:rPr>
        <w:t>,</w:t>
      </w:r>
      <w:r w:rsidRPr="00A46B80">
        <w:rPr>
          <w:rFonts w:asciiTheme="minorHAnsi" w:hAnsiTheme="minorHAnsi" w:cs="Arial"/>
          <w:szCs w:val="22"/>
          <w:lang w:val="en-US"/>
        </w:rPr>
        <w:t xml:space="preserve"> Roselli EE</w:t>
      </w:r>
      <w:r w:rsidR="00F219CF">
        <w:rPr>
          <w:rFonts w:asciiTheme="minorHAnsi" w:hAnsiTheme="minorHAnsi" w:cs="Arial"/>
          <w:szCs w:val="22"/>
          <w:lang w:val="en-US"/>
        </w:rPr>
        <w:t>,</w:t>
      </w:r>
      <w:r w:rsidRPr="00A46B80">
        <w:rPr>
          <w:rFonts w:asciiTheme="minorHAnsi" w:hAnsiTheme="minorHAnsi" w:cs="Arial"/>
          <w:szCs w:val="22"/>
          <w:lang w:val="en-US"/>
        </w:rPr>
        <w:t xml:space="preserve"> Smedira NG</w:t>
      </w:r>
      <w:r w:rsidR="00F219CF">
        <w:rPr>
          <w:rFonts w:asciiTheme="minorHAnsi" w:hAnsiTheme="minorHAnsi" w:cs="Arial"/>
          <w:szCs w:val="22"/>
          <w:lang w:val="en-US"/>
        </w:rPr>
        <w:t>,</w:t>
      </w:r>
      <w:r w:rsidRPr="00A46B80">
        <w:rPr>
          <w:rFonts w:asciiTheme="minorHAnsi" w:hAnsiTheme="minorHAnsi" w:cs="Arial"/>
          <w:szCs w:val="22"/>
          <w:lang w:val="en-US"/>
        </w:rPr>
        <w:t xml:space="preserve"> Gillinov AM</w:t>
      </w:r>
      <w:r w:rsidR="00F219CF">
        <w:rPr>
          <w:rFonts w:asciiTheme="minorHAnsi" w:hAnsiTheme="minorHAnsi" w:cs="Arial"/>
          <w:szCs w:val="22"/>
          <w:lang w:val="en-US"/>
        </w:rPr>
        <w:t>,</w:t>
      </w:r>
      <w:r w:rsidRPr="00A46B80">
        <w:rPr>
          <w:rFonts w:asciiTheme="minorHAnsi" w:hAnsiTheme="minorHAnsi" w:cs="Arial"/>
          <w:szCs w:val="22"/>
          <w:lang w:val="en-US"/>
        </w:rPr>
        <w:t xml:space="preserve"> Glad JA</w:t>
      </w:r>
      <w:r w:rsidR="00F219CF">
        <w:rPr>
          <w:rFonts w:asciiTheme="minorHAnsi" w:hAnsiTheme="minorHAnsi" w:cs="Arial"/>
          <w:szCs w:val="22"/>
          <w:lang w:val="en-US"/>
        </w:rPr>
        <w:t>,</w:t>
      </w:r>
      <w:r w:rsidRPr="00A46B80">
        <w:rPr>
          <w:rFonts w:asciiTheme="minorHAnsi" w:hAnsiTheme="minorHAnsi" w:cs="Arial"/>
          <w:szCs w:val="22"/>
          <w:lang w:val="en-US"/>
        </w:rPr>
        <w:t xml:space="preserve"> Tchou PJ</w:t>
      </w:r>
      <w:r w:rsidR="00F219CF">
        <w:rPr>
          <w:rFonts w:asciiTheme="minorHAnsi" w:hAnsiTheme="minorHAnsi" w:cs="Arial"/>
          <w:szCs w:val="22"/>
          <w:lang w:val="en-US"/>
        </w:rPr>
        <w:t>,</w:t>
      </w:r>
      <w:r w:rsidRPr="00A46B80">
        <w:rPr>
          <w:rFonts w:asciiTheme="minorHAnsi" w:hAnsiTheme="minorHAnsi" w:cs="Arial"/>
          <w:szCs w:val="22"/>
          <w:lang w:val="en-US"/>
        </w:rPr>
        <w:t xml:space="preserve"> Szymkiewicz SJ</w:t>
      </w:r>
      <w:r w:rsidR="00F219CF">
        <w:rPr>
          <w:rFonts w:asciiTheme="minorHAnsi" w:hAnsiTheme="minorHAnsi" w:cs="Arial"/>
          <w:szCs w:val="22"/>
          <w:lang w:val="en-US"/>
        </w:rPr>
        <w:t>,</w:t>
      </w:r>
      <w:r w:rsidRPr="00A46B80">
        <w:rPr>
          <w:rFonts w:asciiTheme="minorHAnsi" w:hAnsiTheme="minorHAnsi" w:cs="Arial"/>
          <w:szCs w:val="22"/>
          <w:lang w:val="en-US"/>
        </w:rPr>
        <w:t xml:space="preserve"> Chung MK. Early Risk of Mortality After CoronaryArtery Revascularization in Patients With Left Ventricular Dysfunction and Potential Role of the Wearable Cardioverter Defibrillator. </w:t>
      </w:r>
      <w:r w:rsidRPr="00D0181C">
        <w:rPr>
          <w:rFonts w:asciiTheme="minorHAnsi" w:hAnsiTheme="minorHAnsi" w:cs="Arial"/>
          <w:i/>
          <w:szCs w:val="22"/>
          <w:lang w:val="en-US"/>
        </w:rPr>
        <w:t>Circ</w:t>
      </w:r>
      <w:r w:rsidR="00F219CF" w:rsidRPr="00D0181C">
        <w:rPr>
          <w:rFonts w:asciiTheme="minorHAnsi" w:hAnsiTheme="minorHAnsi" w:cs="Arial"/>
          <w:i/>
          <w:szCs w:val="22"/>
          <w:lang w:val="en-US"/>
        </w:rPr>
        <w:t>ulation</w:t>
      </w:r>
      <w:r w:rsidRPr="00D0181C">
        <w:rPr>
          <w:rFonts w:asciiTheme="minorHAnsi" w:hAnsiTheme="minorHAnsi" w:cs="Arial"/>
          <w:i/>
          <w:szCs w:val="22"/>
          <w:lang w:val="en-US"/>
        </w:rPr>
        <w:t xml:space="preserve"> Arrhythm</w:t>
      </w:r>
      <w:r w:rsidR="00F219CF" w:rsidRPr="00D0181C">
        <w:rPr>
          <w:rFonts w:asciiTheme="minorHAnsi" w:hAnsiTheme="minorHAnsi" w:cs="Arial"/>
          <w:i/>
          <w:szCs w:val="22"/>
          <w:lang w:val="en-US"/>
        </w:rPr>
        <w:t>ia and</w:t>
      </w:r>
      <w:r w:rsidRPr="00D0181C">
        <w:rPr>
          <w:rFonts w:asciiTheme="minorHAnsi" w:hAnsiTheme="minorHAnsi" w:cs="Arial"/>
          <w:i/>
          <w:szCs w:val="22"/>
          <w:lang w:val="en-US"/>
        </w:rPr>
        <w:t xml:space="preserve"> Electrophysiol</w:t>
      </w:r>
      <w:r w:rsidR="00F219CF" w:rsidRPr="00D0181C">
        <w:rPr>
          <w:rFonts w:asciiTheme="minorHAnsi" w:hAnsiTheme="minorHAnsi" w:cs="Arial"/>
          <w:i/>
          <w:szCs w:val="22"/>
          <w:lang w:val="en-US"/>
        </w:rPr>
        <w:t>ogy</w:t>
      </w:r>
      <w:r w:rsidRPr="00A46B80">
        <w:rPr>
          <w:rFonts w:asciiTheme="minorHAnsi" w:hAnsiTheme="minorHAnsi" w:cs="Arial"/>
          <w:szCs w:val="22"/>
          <w:lang w:val="en-US"/>
        </w:rPr>
        <w:t xml:space="preserve"> 2013;6:117-28.</w:t>
      </w:r>
    </w:p>
    <w:p w14:paraId="55B8DA67" w14:textId="194C57A0" w:rsidR="00496AF8" w:rsidRPr="00F060B3" w:rsidRDefault="002B06BD" w:rsidP="00F060B3">
      <w:pPr>
        <w:spacing w:after="240"/>
        <w:ind w:left="0" w:firstLine="0"/>
        <w:rPr>
          <w:b/>
          <w:iCs/>
        </w:rPr>
      </w:pPr>
      <w:bookmarkStart w:id="6" w:name="Section1a3"/>
      <w:bookmarkEnd w:id="6"/>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14:paraId="55B8DA69" w14:textId="77777777" w:rsidR="00A9011D" w:rsidRPr="00A9011D" w:rsidRDefault="00EC1225"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recommendation </w:t>
      </w:r>
      <w:r>
        <w:rPr>
          <w:rFonts w:ascii="Calibri" w:eastAsia="Calibri" w:hAnsi="Calibri" w:cs="Times New Roman"/>
        </w:rPr>
        <w:t xml:space="preserve"> (with evidence review)</w:t>
      </w:r>
    </w:p>
    <w:p w14:paraId="55B8DA6A"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55B8DA6B" w14:textId="77777777" w:rsidR="00A9011D" w:rsidRPr="00A9011D" w:rsidRDefault="00A9011D"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14:paraId="55B8DA6E" w14:textId="05F2BAFC" w:rsidR="004E7215" w:rsidRPr="00F060B3" w:rsidRDefault="00A9011D" w:rsidP="00F060B3">
      <w:pPr>
        <w:spacing w:after="240"/>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tbl>
      <w:tblPr>
        <w:tblStyle w:val="TableGrid"/>
        <w:tblW w:w="0" w:type="auto"/>
        <w:tblLook w:val="04A0" w:firstRow="1" w:lastRow="0" w:firstColumn="1" w:lastColumn="0" w:noHBand="0" w:noVBand="1"/>
      </w:tblPr>
      <w:tblGrid>
        <w:gridCol w:w="4068"/>
        <w:gridCol w:w="5130"/>
      </w:tblGrid>
      <w:tr w:rsidR="00AB4ECE" w14:paraId="55B8DA76" w14:textId="77777777" w:rsidTr="00F90F82">
        <w:tc>
          <w:tcPr>
            <w:tcW w:w="4068" w:type="dxa"/>
          </w:tcPr>
          <w:p w14:paraId="55B8DA6F" w14:textId="77777777" w:rsidR="00AB4ECE" w:rsidRPr="00AB4ECE" w:rsidRDefault="00AB4ECE" w:rsidP="002E2177">
            <w:pPr>
              <w:ind w:left="0" w:firstLine="0"/>
              <w:rPr>
                <w:b/>
              </w:rPr>
            </w:pPr>
            <w:r w:rsidRPr="00AB4ECE">
              <w:rPr>
                <w:b/>
              </w:rPr>
              <w:t>Source of Systematic Review:</w:t>
            </w:r>
          </w:p>
          <w:p w14:paraId="55B8DA70" w14:textId="77777777" w:rsidR="00AB4ECE" w:rsidRPr="00AB4ECE" w:rsidRDefault="00AB4ECE" w:rsidP="00AB4ECE">
            <w:pPr>
              <w:pStyle w:val="ListParagraph"/>
              <w:numPr>
                <w:ilvl w:val="0"/>
                <w:numId w:val="9"/>
              </w:numPr>
              <w:rPr>
                <w:b/>
              </w:rPr>
            </w:pPr>
            <w:r w:rsidRPr="00AB4ECE">
              <w:rPr>
                <w:b/>
              </w:rPr>
              <w:t>Title</w:t>
            </w:r>
          </w:p>
          <w:p w14:paraId="55B8DA71" w14:textId="77777777" w:rsidR="00AB4ECE" w:rsidRPr="00AB4ECE" w:rsidRDefault="00AB4ECE" w:rsidP="00AB4ECE">
            <w:pPr>
              <w:pStyle w:val="ListParagraph"/>
              <w:numPr>
                <w:ilvl w:val="0"/>
                <w:numId w:val="9"/>
              </w:numPr>
              <w:rPr>
                <w:b/>
              </w:rPr>
            </w:pPr>
            <w:r w:rsidRPr="00AB4ECE">
              <w:rPr>
                <w:b/>
              </w:rPr>
              <w:t>Author</w:t>
            </w:r>
          </w:p>
          <w:p w14:paraId="55B8DA72" w14:textId="77777777" w:rsidR="00AB4ECE" w:rsidRPr="00AB4ECE" w:rsidRDefault="00AB4ECE" w:rsidP="00AB4ECE">
            <w:pPr>
              <w:pStyle w:val="ListParagraph"/>
              <w:numPr>
                <w:ilvl w:val="0"/>
                <w:numId w:val="9"/>
              </w:numPr>
              <w:rPr>
                <w:b/>
              </w:rPr>
            </w:pPr>
            <w:r w:rsidRPr="00AB4ECE">
              <w:rPr>
                <w:b/>
              </w:rPr>
              <w:t>Date</w:t>
            </w:r>
          </w:p>
          <w:p w14:paraId="55B8DA73" w14:textId="77777777" w:rsidR="00AB4ECE" w:rsidRPr="00AB4ECE" w:rsidRDefault="00AB4ECE" w:rsidP="00AB4ECE">
            <w:pPr>
              <w:pStyle w:val="ListParagraph"/>
              <w:numPr>
                <w:ilvl w:val="0"/>
                <w:numId w:val="9"/>
              </w:numPr>
              <w:rPr>
                <w:b/>
              </w:rPr>
            </w:pPr>
            <w:r w:rsidRPr="00AB4ECE">
              <w:rPr>
                <w:b/>
              </w:rPr>
              <w:t>Citation, including page number</w:t>
            </w:r>
          </w:p>
          <w:p w14:paraId="55B8DA74" w14:textId="77777777" w:rsidR="00AB4ECE" w:rsidRPr="00AB4ECE" w:rsidRDefault="00AB4ECE" w:rsidP="00AB4ECE">
            <w:pPr>
              <w:pStyle w:val="ListParagraph"/>
              <w:numPr>
                <w:ilvl w:val="0"/>
                <w:numId w:val="9"/>
              </w:numPr>
              <w:rPr>
                <w:b/>
              </w:rPr>
            </w:pPr>
            <w:r w:rsidRPr="00AB4ECE">
              <w:rPr>
                <w:b/>
              </w:rPr>
              <w:t>URL</w:t>
            </w:r>
          </w:p>
        </w:tc>
        <w:tc>
          <w:tcPr>
            <w:tcW w:w="5130" w:type="dxa"/>
          </w:tcPr>
          <w:p w14:paraId="55B8DA75" w14:textId="705AD4B0" w:rsidR="00AB4ECE" w:rsidRPr="00AB4ECE" w:rsidRDefault="00211A5B" w:rsidP="002E2177">
            <w:pPr>
              <w:ind w:left="0" w:firstLine="0"/>
              <w:rPr>
                <w:b/>
              </w:rPr>
            </w:pPr>
            <w:r>
              <w:rPr>
                <w:b/>
              </w:rPr>
              <w:t>N/A</w:t>
            </w:r>
          </w:p>
        </w:tc>
      </w:tr>
      <w:tr w:rsidR="00AB4ECE" w14:paraId="55B8DA79" w14:textId="77777777" w:rsidTr="00F90F82">
        <w:tc>
          <w:tcPr>
            <w:tcW w:w="4068" w:type="dxa"/>
          </w:tcPr>
          <w:p w14:paraId="55B8DA77" w14:textId="77777777" w:rsidR="00AB4ECE" w:rsidRDefault="00AB4ECE" w:rsidP="002E2177">
            <w:pPr>
              <w:ind w:left="0" w:firstLine="0"/>
            </w:pPr>
            <w:r>
              <w:t>Quote the guideline or recommendation verbatim about the process, structure or intermediate outcome being measured.</w:t>
            </w:r>
            <w:r w:rsidR="000E5C93">
              <w:t xml:space="preserve"> If not a guideline, summarize the conclusions from the SR.</w:t>
            </w:r>
          </w:p>
        </w:tc>
        <w:tc>
          <w:tcPr>
            <w:tcW w:w="5130" w:type="dxa"/>
          </w:tcPr>
          <w:p w14:paraId="55B8DA78" w14:textId="77777777" w:rsidR="00AB4ECE" w:rsidRDefault="00AB4ECE" w:rsidP="002E2177">
            <w:pPr>
              <w:ind w:left="0" w:firstLine="0"/>
            </w:pPr>
          </w:p>
        </w:tc>
      </w:tr>
      <w:tr w:rsidR="00AB4ECE" w14:paraId="55B8DA7C" w14:textId="77777777" w:rsidTr="00F90F82">
        <w:tc>
          <w:tcPr>
            <w:tcW w:w="4068" w:type="dxa"/>
          </w:tcPr>
          <w:p w14:paraId="55B8DA7A" w14:textId="77777777" w:rsidR="00AB4ECE" w:rsidRDefault="00AB4ECE" w:rsidP="00E42FAA">
            <w:pPr>
              <w:ind w:left="0" w:firstLine="0"/>
            </w:pPr>
            <w:r>
              <w:t xml:space="preserve">Grade assigned to the </w:t>
            </w:r>
            <w:r w:rsidRPr="004E7215">
              <w:rPr>
                <w:b/>
              </w:rPr>
              <w:t>evidence</w:t>
            </w:r>
            <w:r>
              <w:t xml:space="preserve"> associated with the recommendation with the definition of the grade</w:t>
            </w:r>
          </w:p>
        </w:tc>
        <w:tc>
          <w:tcPr>
            <w:tcW w:w="5130" w:type="dxa"/>
          </w:tcPr>
          <w:p w14:paraId="55B8DA7B" w14:textId="77777777" w:rsidR="00AB4ECE" w:rsidRDefault="00AB4ECE" w:rsidP="002E2177">
            <w:pPr>
              <w:ind w:left="0" w:firstLine="0"/>
            </w:pPr>
          </w:p>
        </w:tc>
      </w:tr>
      <w:tr w:rsidR="00AB4ECE" w14:paraId="55B8DA7F" w14:textId="77777777" w:rsidTr="00F90F82">
        <w:tc>
          <w:tcPr>
            <w:tcW w:w="4068" w:type="dxa"/>
          </w:tcPr>
          <w:p w14:paraId="55B8DA7D" w14:textId="77777777" w:rsidR="00AB4ECE" w:rsidRDefault="00AB4ECE" w:rsidP="00E42FAA">
            <w:pPr>
              <w:ind w:left="0" w:firstLine="0"/>
            </w:pPr>
            <w:r>
              <w:t>Provide all other grades and definitions from the evidence grading system</w:t>
            </w:r>
          </w:p>
        </w:tc>
        <w:tc>
          <w:tcPr>
            <w:tcW w:w="5130" w:type="dxa"/>
          </w:tcPr>
          <w:p w14:paraId="55B8DA7E" w14:textId="77777777" w:rsidR="00AB4ECE" w:rsidRDefault="00AB4ECE" w:rsidP="002E2177">
            <w:pPr>
              <w:ind w:left="0" w:firstLine="0"/>
            </w:pPr>
          </w:p>
        </w:tc>
      </w:tr>
      <w:tr w:rsidR="00AB4ECE" w14:paraId="55B8DA82" w14:textId="77777777" w:rsidTr="00F90F82">
        <w:tc>
          <w:tcPr>
            <w:tcW w:w="4068" w:type="dxa"/>
          </w:tcPr>
          <w:p w14:paraId="55B8DA80" w14:textId="77777777" w:rsidR="00AB4ECE" w:rsidRDefault="00AB4ECE" w:rsidP="00E42FAA">
            <w:pPr>
              <w:ind w:left="0" w:firstLine="0"/>
            </w:pPr>
            <w:r>
              <w:t xml:space="preserve">Grade assigned to the </w:t>
            </w:r>
            <w:r w:rsidRPr="004E7215">
              <w:rPr>
                <w:b/>
              </w:rPr>
              <w:t>recommendation</w:t>
            </w:r>
            <w:r>
              <w:t xml:space="preserve"> with definition of the grade</w:t>
            </w:r>
          </w:p>
        </w:tc>
        <w:tc>
          <w:tcPr>
            <w:tcW w:w="5130" w:type="dxa"/>
          </w:tcPr>
          <w:p w14:paraId="55B8DA81" w14:textId="77777777" w:rsidR="00AB4ECE" w:rsidRDefault="00AB4ECE" w:rsidP="002E2177">
            <w:pPr>
              <w:ind w:left="0" w:firstLine="0"/>
            </w:pPr>
          </w:p>
        </w:tc>
      </w:tr>
      <w:tr w:rsidR="00AB4ECE" w14:paraId="55B8DA85" w14:textId="77777777" w:rsidTr="00F90F82">
        <w:tc>
          <w:tcPr>
            <w:tcW w:w="4068" w:type="dxa"/>
          </w:tcPr>
          <w:p w14:paraId="55B8DA83" w14:textId="77777777" w:rsidR="00AB4ECE" w:rsidRDefault="00AB4ECE" w:rsidP="00E42FAA">
            <w:pPr>
              <w:ind w:left="0" w:firstLine="0"/>
            </w:pPr>
            <w:r>
              <w:t>Provide all other grades and definitions from the recommendation grading system</w:t>
            </w:r>
          </w:p>
        </w:tc>
        <w:tc>
          <w:tcPr>
            <w:tcW w:w="5130" w:type="dxa"/>
          </w:tcPr>
          <w:p w14:paraId="55B8DA84" w14:textId="77777777" w:rsidR="00AB4ECE" w:rsidRDefault="00AB4ECE" w:rsidP="002E2177">
            <w:pPr>
              <w:ind w:left="0" w:firstLine="0"/>
            </w:pPr>
          </w:p>
        </w:tc>
      </w:tr>
      <w:tr w:rsidR="00AB4ECE" w14:paraId="55B8DA8A" w14:textId="77777777" w:rsidTr="00F90F82">
        <w:tc>
          <w:tcPr>
            <w:tcW w:w="4068" w:type="dxa"/>
          </w:tcPr>
          <w:p w14:paraId="55B8DA86" w14:textId="77777777" w:rsidR="00AB4ECE" w:rsidRDefault="000E5C93" w:rsidP="002E2177">
            <w:pPr>
              <w:ind w:left="0" w:firstLine="0"/>
            </w:pPr>
            <w:r>
              <w:t>Body of evidence:</w:t>
            </w:r>
          </w:p>
          <w:p w14:paraId="55B8DA87" w14:textId="77777777" w:rsidR="000E5C93" w:rsidRDefault="000E5C93" w:rsidP="000E5C93">
            <w:pPr>
              <w:pStyle w:val="ListParagraph"/>
              <w:numPr>
                <w:ilvl w:val="0"/>
                <w:numId w:val="10"/>
              </w:numPr>
            </w:pPr>
            <w:r>
              <w:t>Quantity – how many studies?</w:t>
            </w:r>
          </w:p>
          <w:p w14:paraId="55B8DA88" w14:textId="77777777" w:rsidR="000E5C93" w:rsidRDefault="000E5C93" w:rsidP="000E5C93">
            <w:pPr>
              <w:pStyle w:val="ListParagraph"/>
              <w:numPr>
                <w:ilvl w:val="0"/>
                <w:numId w:val="10"/>
              </w:numPr>
            </w:pPr>
            <w:r>
              <w:t>Quality – what type of studies?</w:t>
            </w:r>
          </w:p>
        </w:tc>
        <w:tc>
          <w:tcPr>
            <w:tcW w:w="5130" w:type="dxa"/>
          </w:tcPr>
          <w:p w14:paraId="55B8DA89" w14:textId="77777777" w:rsidR="00AB4ECE" w:rsidRDefault="00AB4ECE" w:rsidP="002E2177">
            <w:pPr>
              <w:ind w:left="0" w:firstLine="0"/>
            </w:pPr>
          </w:p>
        </w:tc>
      </w:tr>
      <w:tr w:rsidR="00AB4ECE" w14:paraId="55B8DA8D" w14:textId="77777777" w:rsidTr="00F90F82">
        <w:tc>
          <w:tcPr>
            <w:tcW w:w="4068" w:type="dxa"/>
          </w:tcPr>
          <w:p w14:paraId="55B8DA8B" w14:textId="77777777" w:rsidR="00AB4ECE" w:rsidRDefault="000E5C93" w:rsidP="002E2177">
            <w:pPr>
              <w:ind w:left="0" w:firstLine="0"/>
            </w:pPr>
            <w:r>
              <w:t xml:space="preserve">Estimates of benefit and consistency across studies </w:t>
            </w:r>
          </w:p>
        </w:tc>
        <w:tc>
          <w:tcPr>
            <w:tcW w:w="5130" w:type="dxa"/>
          </w:tcPr>
          <w:p w14:paraId="55B8DA8C" w14:textId="77777777" w:rsidR="00AB4ECE" w:rsidRDefault="00AB4ECE" w:rsidP="002E2177">
            <w:pPr>
              <w:ind w:left="0" w:firstLine="0"/>
            </w:pPr>
          </w:p>
        </w:tc>
      </w:tr>
      <w:tr w:rsidR="000E5C93" w14:paraId="55B8DA90" w14:textId="77777777" w:rsidTr="00F90F82">
        <w:tc>
          <w:tcPr>
            <w:tcW w:w="4068" w:type="dxa"/>
          </w:tcPr>
          <w:p w14:paraId="55B8DA8E" w14:textId="77777777" w:rsidR="000E5C93" w:rsidRDefault="000E5C93" w:rsidP="002E2177">
            <w:pPr>
              <w:ind w:left="0" w:firstLine="0"/>
            </w:pPr>
            <w:r>
              <w:t>What harms were identified?</w:t>
            </w:r>
          </w:p>
        </w:tc>
        <w:tc>
          <w:tcPr>
            <w:tcW w:w="5130" w:type="dxa"/>
          </w:tcPr>
          <w:p w14:paraId="55B8DA8F" w14:textId="77777777" w:rsidR="000E5C93" w:rsidRDefault="000E5C93" w:rsidP="002E2177">
            <w:pPr>
              <w:ind w:left="0" w:firstLine="0"/>
            </w:pPr>
          </w:p>
        </w:tc>
      </w:tr>
      <w:tr w:rsidR="000E5C93" w14:paraId="55B8DA93" w14:textId="77777777" w:rsidTr="00F90F82">
        <w:tc>
          <w:tcPr>
            <w:tcW w:w="4068" w:type="dxa"/>
          </w:tcPr>
          <w:p w14:paraId="55B8DA91" w14:textId="77777777" w:rsidR="000E5C93" w:rsidRDefault="000E5C93" w:rsidP="000E5C93">
            <w:pPr>
              <w:ind w:left="0" w:firstLine="0"/>
            </w:pPr>
            <w:r>
              <w:t>Identify any new studies conducted since the SR. Do the new studies change the conclusions from the SR?</w:t>
            </w:r>
          </w:p>
        </w:tc>
        <w:tc>
          <w:tcPr>
            <w:tcW w:w="5130" w:type="dxa"/>
          </w:tcPr>
          <w:p w14:paraId="55B8DA92" w14:textId="77777777" w:rsidR="000E5C93" w:rsidRDefault="000E5C93" w:rsidP="002E2177">
            <w:pPr>
              <w:ind w:left="0" w:firstLine="0"/>
            </w:pPr>
          </w:p>
        </w:tc>
      </w:tr>
    </w:tbl>
    <w:p w14:paraId="55B8DA94" w14:textId="77777777" w:rsidR="007C1887" w:rsidRPr="003B1CC5" w:rsidRDefault="007C1887"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7" w:name="Section1a8"/>
      <w:bookmarkEnd w:id="7"/>
      <w:r>
        <w:rPr>
          <w:b/>
          <w:color w:val="0000FF"/>
        </w:rPr>
        <w:t>1a.4</w:t>
      </w:r>
      <w:r w:rsidR="00837121" w:rsidRPr="003B1CC5">
        <w:rPr>
          <w:b/>
          <w:color w:val="0000FF"/>
        </w:rPr>
        <w:t xml:space="preserve"> </w:t>
      </w:r>
      <w:r w:rsidR="00837121" w:rsidRPr="003B1CC5">
        <w:rPr>
          <w:b/>
        </w:rPr>
        <w:t>OTHER SOURCE OF EVIDENCE</w:t>
      </w:r>
    </w:p>
    <w:p w14:paraId="55B8DA97"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5B8DA98" w14:textId="3CD4F550" w:rsidR="00837121" w:rsidRPr="003B1CC5" w:rsidRDefault="00CC0379" w:rsidP="0023164B">
      <w:pPr>
        <w:pBdr>
          <w:top w:val="single" w:sz="4" w:space="1" w:color="auto"/>
          <w:left w:val="single" w:sz="4" w:space="4" w:color="auto"/>
          <w:bottom w:val="single" w:sz="4" w:space="1" w:color="auto"/>
          <w:right w:val="single" w:sz="4" w:space="4" w:color="auto"/>
        </w:pBdr>
        <w:ind w:left="0" w:firstLine="0"/>
      </w:pPr>
      <w:r>
        <w:t>N/A</w:t>
      </w:r>
    </w:p>
    <w:p w14:paraId="55B8DA99" w14:textId="179B58E5" w:rsidR="000E5C93" w:rsidRDefault="000E5C93" w:rsidP="002E2177">
      <w:pPr>
        <w:ind w:left="0" w:firstLine="0"/>
      </w:pPr>
      <w:r>
        <w:rPr>
          <w:b/>
          <w:color w:val="0000FF"/>
        </w:rPr>
        <w:t>1a.4</w:t>
      </w:r>
      <w:r w:rsidR="00837121" w:rsidRPr="003B1CC5">
        <w:rPr>
          <w:b/>
          <w:color w:val="0000FF"/>
        </w:rPr>
        <w:t>.1</w:t>
      </w:r>
      <w:r w:rsidR="00837121" w:rsidRPr="003B1CC5">
        <w:rPr>
          <w:color w:val="0070C0"/>
        </w:rPr>
        <w:t xml:space="preserve"> </w:t>
      </w:r>
      <w:r w:rsidRPr="000E5C93">
        <w:rPr>
          <w:b/>
        </w:rPr>
        <w:t>B</w:t>
      </w:r>
      <w:r>
        <w:rPr>
          <w:b/>
        </w:rPr>
        <w:t xml:space="preserve">riefly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3DAE05F5" w14:textId="3147693F" w:rsidR="0023164B" w:rsidRPr="00853004" w:rsidRDefault="00CC0379" w:rsidP="0023164B">
      <w:pPr>
        <w:pBdr>
          <w:top w:val="single" w:sz="4" w:space="1" w:color="auto"/>
          <w:left w:val="single" w:sz="4" w:space="4" w:color="auto"/>
          <w:bottom w:val="single" w:sz="4" w:space="1" w:color="auto"/>
          <w:right w:val="single" w:sz="4" w:space="4" w:color="auto"/>
        </w:pBdr>
        <w:ind w:left="0" w:firstLine="0"/>
      </w:pPr>
      <w:r w:rsidRPr="00853004">
        <w:t>N/A</w:t>
      </w:r>
    </w:p>
    <w:p w14:paraId="55B8DA9A" w14:textId="77777777" w:rsidR="000E5C93" w:rsidRDefault="000E5C93" w:rsidP="002E2177">
      <w:pPr>
        <w:ind w:left="0" w:firstLine="0"/>
        <w:rPr>
          <w:b/>
        </w:rPr>
      </w:pPr>
    </w:p>
    <w:p w14:paraId="55B8DA9B" w14:textId="77777777" w:rsidR="00837121" w:rsidRPr="003B1CC5" w:rsidRDefault="000E5C93" w:rsidP="002E2177">
      <w:pPr>
        <w:ind w:left="0" w:firstLine="0"/>
      </w:pPr>
      <w:r w:rsidRPr="000E5C93">
        <w:rPr>
          <w:b/>
          <w:color w:val="244061" w:themeColor="accent1" w:themeShade="80"/>
        </w:rPr>
        <w:t xml:space="preserve">1a.4.2 </w:t>
      </w:r>
      <w:r w:rsidR="00837121" w:rsidRPr="003B1CC5">
        <w:rPr>
          <w:b/>
        </w:rPr>
        <w:t>What process was used to identify the evidence?</w:t>
      </w:r>
    </w:p>
    <w:p w14:paraId="55B8DA9C" w14:textId="0C549DB7" w:rsidR="00837121" w:rsidRPr="003B1CC5" w:rsidRDefault="00CC0379" w:rsidP="0023164B">
      <w:pPr>
        <w:pBdr>
          <w:top w:val="single" w:sz="4" w:space="1" w:color="auto"/>
          <w:left w:val="single" w:sz="4" w:space="4" w:color="auto"/>
          <w:bottom w:val="single" w:sz="4" w:space="1" w:color="auto"/>
          <w:right w:val="single" w:sz="4" w:space="4" w:color="auto"/>
        </w:pBdr>
        <w:ind w:left="0" w:firstLine="0"/>
      </w:pPr>
      <w:r>
        <w:t>N/A</w:t>
      </w:r>
    </w:p>
    <w:p w14:paraId="458A5710" w14:textId="77777777" w:rsidR="0023164B" w:rsidRDefault="0023164B" w:rsidP="002E2177">
      <w:pPr>
        <w:ind w:left="0" w:firstLine="0"/>
        <w:rPr>
          <w:b/>
          <w:color w:val="0000FF"/>
        </w:rPr>
      </w:pPr>
    </w:p>
    <w:p w14:paraId="55B8DA9D" w14:textId="15C51A30" w:rsidR="00837121" w:rsidRDefault="000E5C93" w:rsidP="002E2177">
      <w:pPr>
        <w:ind w:left="0" w:firstLine="0"/>
        <w:rPr>
          <w:b/>
        </w:rPr>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p w14:paraId="401DA035" w14:textId="6FFCB281" w:rsidR="0023164B" w:rsidRPr="001B772D" w:rsidRDefault="00CC0379" w:rsidP="0023164B">
      <w:pPr>
        <w:pBdr>
          <w:top w:val="single" w:sz="4" w:space="1" w:color="auto"/>
          <w:left w:val="single" w:sz="4" w:space="4" w:color="auto"/>
          <w:bottom w:val="single" w:sz="4" w:space="1" w:color="auto"/>
          <w:right w:val="single" w:sz="4" w:space="4" w:color="auto"/>
        </w:pBdr>
        <w:ind w:left="0" w:firstLine="0"/>
      </w:pPr>
      <w:r>
        <w:t>N/A</w:t>
      </w:r>
    </w:p>
    <w:sectPr w:rsidR="0023164B" w:rsidRPr="001B772D">
      <w:headerReference w:type="default" r:id="rId21"/>
      <w:footerReference w:type="defaul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D3CCA3" w14:textId="77777777" w:rsidR="00813195" w:rsidRDefault="00813195" w:rsidP="007E37A5">
      <w:r>
        <w:separator/>
      </w:r>
    </w:p>
  </w:endnote>
  <w:endnote w:type="continuationSeparator" w:id="0">
    <w:p w14:paraId="0BF64023" w14:textId="77777777" w:rsidR="00813195" w:rsidRDefault="00813195"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altName w:val="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8DAA3" w14:textId="1DD885ED" w:rsidR="00CA3111" w:rsidRDefault="00CA3111">
    <w:pPr>
      <w:pStyle w:val="Footer"/>
    </w:pPr>
    <w:r w:rsidRPr="00395263">
      <w:t xml:space="preserve">Version </w:t>
    </w:r>
    <w:r>
      <w:t xml:space="preserve">7.1 </w:t>
    </w:r>
    <w:r w:rsidRPr="00395263">
      <w:t xml:space="preserve"> </w:t>
    </w:r>
    <w:r>
      <w:t>9/6/17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406E5E">
      <w:rPr>
        <w:noProof/>
      </w:rPr>
      <w:t>1</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716D01" w14:textId="77777777" w:rsidR="00813195" w:rsidRDefault="00813195" w:rsidP="007E37A5">
      <w:r>
        <w:separator/>
      </w:r>
    </w:p>
  </w:footnote>
  <w:footnote w:type="continuationSeparator" w:id="0">
    <w:p w14:paraId="3A9D39D7" w14:textId="77777777" w:rsidR="00813195" w:rsidRDefault="00813195"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8DAA2" w14:textId="77777777" w:rsidR="00CA3111" w:rsidRDefault="00CA3111"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429FC"/>
    <w:multiLevelType w:val="hybridMultilevel"/>
    <w:tmpl w:val="A8C407C4"/>
    <w:lvl w:ilvl="0" w:tplc="465C9362">
      <w:start w:val="1"/>
      <w:numFmt w:val="decimal"/>
      <w:lvlText w:val="%1."/>
      <w:lvlJc w:val="left"/>
      <w:pPr>
        <w:ind w:left="806" w:hanging="360"/>
      </w:pPr>
      <w:rPr>
        <w:rFonts w:asciiTheme="minorHAnsi" w:eastAsia="Times New Roman" w:hAnsiTheme="minorHAnsi" w:cs="Arial"/>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1" w15:restartNumberingAfterBreak="0">
    <w:nsid w:val="06C84CED"/>
    <w:multiLevelType w:val="hybridMultilevel"/>
    <w:tmpl w:val="CF28CCA4"/>
    <w:lvl w:ilvl="0" w:tplc="474A5354">
      <w:start w:val="1"/>
      <w:numFmt w:val="decimal"/>
      <w:lvlText w:val="%1."/>
      <w:lvlJc w:val="left"/>
      <w:pPr>
        <w:ind w:left="360" w:hanging="360"/>
      </w:pPr>
      <w:rPr>
        <w:rFonts w:asciiTheme="minorHAnsi" w:eastAsia="Times New Roman" w:hAnsiTheme="minorHAnsi" w:cstheme="minorHAns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B964CF"/>
    <w:multiLevelType w:val="hybridMultilevel"/>
    <w:tmpl w:val="70A041BC"/>
    <w:lvl w:ilvl="0" w:tplc="0409000F">
      <w:start w:val="1"/>
      <w:numFmt w:val="decimal"/>
      <w:lvlText w:val="%1."/>
      <w:lvlJc w:val="left"/>
      <w:pPr>
        <w:ind w:left="806" w:hanging="360"/>
      </w:p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3"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0BA531F"/>
    <w:multiLevelType w:val="hybridMultilevel"/>
    <w:tmpl w:val="48FEB4C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934137C"/>
    <w:multiLevelType w:val="hybridMultilevel"/>
    <w:tmpl w:val="67DA82CC"/>
    <w:lvl w:ilvl="0" w:tplc="0409000F">
      <w:start w:val="1"/>
      <w:numFmt w:val="decimal"/>
      <w:lvlText w:val="%1."/>
      <w:lvlJc w:val="left"/>
      <w:pPr>
        <w:ind w:left="806" w:hanging="360"/>
      </w:p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11"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D7447B0"/>
    <w:multiLevelType w:val="hybridMultilevel"/>
    <w:tmpl w:val="D020E910"/>
    <w:lvl w:ilvl="0" w:tplc="8F063BB4">
      <w:start w:val="1"/>
      <w:numFmt w:val="decimal"/>
      <w:lvlText w:val="%1."/>
      <w:lvlJc w:val="left"/>
      <w:pPr>
        <w:ind w:left="806" w:hanging="360"/>
      </w:pPr>
      <w:rPr>
        <w:rFonts w:asciiTheme="minorHAnsi" w:eastAsia="Times New Roman" w:hAnsiTheme="minorHAnsi" w:cs="Arial"/>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16"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4"/>
  </w:num>
  <w:num w:numId="4">
    <w:abstractNumId w:val="5"/>
  </w:num>
  <w:num w:numId="5">
    <w:abstractNumId w:val="7"/>
  </w:num>
  <w:num w:numId="6">
    <w:abstractNumId w:val="6"/>
  </w:num>
  <w:num w:numId="7">
    <w:abstractNumId w:val="14"/>
  </w:num>
  <w:num w:numId="8">
    <w:abstractNumId w:val="13"/>
  </w:num>
  <w:num w:numId="9">
    <w:abstractNumId w:val="16"/>
  </w:num>
  <w:num w:numId="10">
    <w:abstractNumId w:val="3"/>
  </w:num>
  <w:num w:numId="11">
    <w:abstractNumId w:val="11"/>
  </w:num>
  <w:num w:numId="12">
    <w:abstractNumId w:val="0"/>
  </w:num>
  <w:num w:numId="13">
    <w:abstractNumId w:val="9"/>
  </w:num>
  <w:num w:numId="14">
    <w:abstractNumId w:val="2"/>
  </w:num>
  <w:num w:numId="15">
    <w:abstractNumId w:val="10"/>
  </w:num>
  <w:num w:numId="16">
    <w:abstractNumId w:val="15"/>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15986"/>
    <w:rsid w:val="00015C1E"/>
    <w:rsid w:val="000160E6"/>
    <w:rsid w:val="00024526"/>
    <w:rsid w:val="00030F43"/>
    <w:rsid w:val="00040DCF"/>
    <w:rsid w:val="00052C0B"/>
    <w:rsid w:val="00061CF3"/>
    <w:rsid w:val="00063601"/>
    <w:rsid w:val="00073079"/>
    <w:rsid w:val="0007593F"/>
    <w:rsid w:val="00095EC9"/>
    <w:rsid w:val="00096A37"/>
    <w:rsid w:val="000A0810"/>
    <w:rsid w:val="000B627F"/>
    <w:rsid w:val="000D649E"/>
    <w:rsid w:val="000D6D06"/>
    <w:rsid w:val="000E19C4"/>
    <w:rsid w:val="000E5C93"/>
    <w:rsid w:val="000E5D4A"/>
    <w:rsid w:val="000F4A7F"/>
    <w:rsid w:val="00114848"/>
    <w:rsid w:val="00120934"/>
    <w:rsid w:val="00132070"/>
    <w:rsid w:val="00141875"/>
    <w:rsid w:val="0014347E"/>
    <w:rsid w:val="00154438"/>
    <w:rsid w:val="001551F6"/>
    <w:rsid w:val="0015535B"/>
    <w:rsid w:val="00162036"/>
    <w:rsid w:val="001632DD"/>
    <w:rsid w:val="00176E60"/>
    <w:rsid w:val="00187B25"/>
    <w:rsid w:val="00194913"/>
    <w:rsid w:val="00194D9A"/>
    <w:rsid w:val="001A196B"/>
    <w:rsid w:val="001A6D05"/>
    <w:rsid w:val="001B38BF"/>
    <w:rsid w:val="001B772D"/>
    <w:rsid w:val="001D5B5D"/>
    <w:rsid w:val="001E6153"/>
    <w:rsid w:val="00201FF9"/>
    <w:rsid w:val="00205857"/>
    <w:rsid w:val="00211A5B"/>
    <w:rsid w:val="00214846"/>
    <w:rsid w:val="0023164B"/>
    <w:rsid w:val="00235ADC"/>
    <w:rsid w:val="00236F87"/>
    <w:rsid w:val="0024127D"/>
    <w:rsid w:val="00265702"/>
    <w:rsid w:val="002662B2"/>
    <w:rsid w:val="002717C7"/>
    <w:rsid w:val="002875E9"/>
    <w:rsid w:val="00287EB3"/>
    <w:rsid w:val="00297C80"/>
    <w:rsid w:val="002A47BA"/>
    <w:rsid w:val="002A6777"/>
    <w:rsid w:val="002B06BD"/>
    <w:rsid w:val="002B41AA"/>
    <w:rsid w:val="002C0E48"/>
    <w:rsid w:val="002C6F04"/>
    <w:rsid w:val="002E2177"/>
    <w:rsid w:val="002E2E41"/>
    <w:rsid w:val="002E78CD"/>
    <w:rsid w:val="002F0F44"/>
    <w:rsid w:val="002F20A7"/>
    <w:rsid w:val="002F3DA4"/>
    <w:rsid w:val="002F5C15"/>
    <w:rsid w:val="0030086A"/>
    <w:rsid w:val="003008F4"/>
    <w:rsid w:val="00302B1D"/>
    <w:rsid w:val="00307FA5"/>
    <w:rsid w:val="003172D0"/>
    <w:rsid w:val="00324D64"/>
    <w:rsid w:val="00352B52"/>
    <w:rsid w:val="0035760D"/>
    <w:rsid w:val="00363ECC"/>
    <w:rsid w:val="0038698C"/>
    <w:rsid w:val="0039020B"/>
    <w:rsid w:val="00395263"/>
    <w:rsid w:val="003956E0"/>
    <w:rsid w:val="0039609A"/>
    <w:rsid w:val="00397500"/>
    <w:rsid w:val="003A29DC"/>
    <w:rsid w:val="003B1CC5"/>
    <w:rsid w:val="003B2535"/>
    <w:rsid w:val="003B65CE"/>
    <w:rsid w:val="003D6721"/>
    <w:rsid w:val="003E039E"/>
    <w:rsid w:val="003E4D26"/>
    <w:rsid w:val="0040230E"/>
    <w:rsid w:val="00406E5E"/>
    <w:rsid w:val="00414C1B"/>
    <w:rsid w:val="0041662F"/>
    <w:rsid w:val="00422917"/>
    <w:rsid w:val="00435B7B"/>
    <w:rsid w:val="00436B06"/>
    <w:rsid w:val="00440687"/>
    <w:rsid w:val="0044131D"/>
    <w:rsid w:val="00441ADA"/>
    <w:rsid w:val="00457E46"/>
    <w:rsid w:val="004922E4"/>
    <w:rsid w:val="0049552A"/>
    <w:rsid w:val="00496AF8"/>
    <w:rsid w:val="004A575D"/>
    <w:rsid w:val="004A5806"/>
    <w:rsid w:val="004B65C6"/>
    <w:rsid w:val="004C1BBA"/>
    <w:rsid w:val="004D1DC7"/>
    <w:rsid w:val="004E124D"/>
    <w:rsid w:val="004E7215"/>
    <w:rsid w:val="004F0CDE"/>
    <w:rsid w:val="004F7D7E"/>
    <w:rsid w:val="00500B0C"/>
    <w:rsid w:val="00515FDB"/>
    <w:rsid w:val="00517AD6"/>
    <w:rsid w:val="00537150"/>
    <w:rsid w:val="00540984"/>
    <w:rsid w:val="00540B3C"/>
    <w:rsid w:val="00543851"/>
    <w:rsid w:val="0055559D"/>
    <w:rsid w:val="005569AE"/>
    <w:rsid w:val="00567A52"/>
    <w:rsid w:val="00573A3A"/>
    <w:rsid w:val="005857F8"/>
    <w:rsid w:val="005B0D18"/>
    <w:rsid w:val="005B12C3"/>
    <w:rsid w:val="005B409D"/>
    <w:rsid w:val="005D0FDB"/>
    <w:rsid w:val="005D25E9"/>
    <w:rsid w:val="005D6D59"/>
    <w:rsid w:val="005F10F7"/>
    <w:rsid w:val="005F363E"/>
    <w:rsid w:val="00610A56"/>
    <w:rsid w:val="0061327A"/>
    <w:rsid w:val="00617390"/>
    <w:rsid w:val="0062072D"/>
    <w:rsid w:val="00623420"/>
    <w:rsid w:val="00634768"/>
    <w:rsid w:val="0063596F"/>
    <w:rsid w:val="006709EB"/>
    <w:rsid w:val="00672824"/>
    <w:rsid w:val="00674EEF"/>
    <w:rsid w:val="00676BD4"/>
    <w:rsid w:val="0068184A"/>
    <w:rsid w:val="006A0249"/>
    <w:rsid w:val="006A7FEB"/>
    <w:rsid w:val="006B5C51"/>
    <w:rsid w:val="006C3AFA"/>
    <w:rsid w:val="006C7F30"/>
    <w:rsid w:val="006D43FF"/>
    <w:rsid w:val="006E4179"/>
    <w:rsid w:val="006E6FDD"/>
    <w:rsid w:val="006E7FD7"/>
    <w:rsid w:val="006F4B7F"/>
    <w:rsid w:val="006F760B"/>
    <w:rsid w:val="00701CC3"/>
    <w:rsid w:val="00716452"/>
    <w:rsid w:val="00717C03"/>
    <w:rsid w:val="00724801"/>
    <w:rsid w:val="00725D4C"/>
    <w:rsid w:val="007340C9"/>
    <w:rsid w:val="00734949"/>
    <w:rsid w:val="00736AEC"/>
    <w:rsid w:val="00736E0F"/>
    <w:rsid w:val="007410D9"/>
    <w:rsid w:val="007434FA"/>
    <w:rsid w:val="0074777F"/>
    <w:rsid w:val="007573F0"/>
    <w:rsid w:val="00763C4E"/>
    <w:rsid w:val="00765156"/>
    <w:rsid w:val="00767669"/>
    <w:rsid w:val="00773485"/>
    <w:rsid w:val="00776E8F"/>
    <w:rsid w:val="00776F6D"/>
    <w:rsid w:val="00797904"/>
    <w:rsid w:val="007C0297"/>
    <w:rsid w:val="007C1887"/>
    <w:rsid w:val="007D4775"/>
    <w:rsid w:val="007D5DC6"/>
    <w:rsid w:val="007E37A5"/>
    <w:rsid w:val="007F49D8"/>
    <w:rsid w:val="00805940"/>
    <w:rsid w:val="00813195"/>
    <w:rsid w:val="0081599C"/>
    <w:rsid w:val="00824328"/>
    <w:rsid w:val="00837121"/>
    <w:rsid w:val="008471E5"/>
    <w:rsid w:val="00850C35"/>
    <w:rsid w:val="00851466"/>
    <w:rsid w:val="00853004"/>
    <w:rsid w:val="00863E43"/>
    <w:rsid w:val="008647C3"/>
    <w:rsid w:val="008659ED"/>
    <w:rsid w:val="008708DC"/>
    <w:rsid w:val="00870987"/>
    <w:rsid w:val="0087564A"/>
    <w:rsid w:val="00881160"/>
    <w:rsid w:val="0088371C"/>
    <w:rsid w:val="008A4486"/>
    <w:rsid w:val="008A45F3"/>
    <w:rsid w:val="008B4C61"/>
    <w:rsid w:val="008B51D9"/>
    <w:rsid w:val="008B652E"/>
    <w:rsid w:val="008D05B7"/>
    <w:rsid w:val="008F1DC6"/>
    <w:rsid w:val="008F6F51"/>
    <w:rsid w:val="00902717"/>
    <w:rsid w:val="00905C5B"/>
    <w:rsid w:val="00913422"/>
    <w:rsid w:val="00923295"/>
    <w:rsid w:val="00925F11"/>
    <w:rsid w:val="00935265"/>
    <w:rsid w:val="0094689F"/>
    <w:rsid w:val="009477D6"/>
    <w:rsid w:val="00953ED3"/>
    <w:rsid w:val="00957B3B"/>
    <w:rsid w:val="00965FF6"/>
    <w:rsid w:val="00970BA8"/>
    <w:rsid w:val="00980902"/>
    <w:rsid w:val="009846D6"/>
    <w:rsid w:val="00986059"/>
    <w:rsid w:val="0098657F"/>
    <w:rsid w:val="009A3236"/>
    <w:rsid w:val="009A7221"/>
    <w:rsid w:val="009B5A93"/>
    <w:rsid w:val="009B5BEA"/>
    <w:rsid w:val="009C291F"/>
    <w:rsid w:val="009E37BD"/>
    <w:rsid w:val="009E3FF0"/>
    <w:rsid w:val="009E6B86"/>
    <w:rsid w:val="00A03301"/>
    <w:rsid w:val="00A12762"/>
    <w:rsid w:val="00A13867"/>
    <w:rsid w:val="00A202D2"/>
    <w:rsid w:val="00A26FED"/>
    <w:rsid w:val="00A421D4"/>
    <w:rsid w:val="00A44FF0"/>
    <w:rsid w:val="00A46B80"/>
    <w:rsid w:val="00A50E55"/>
    <w:rsid w:val="00A56920"/>
    <w:rsid w:val="00A66ED5"/>
    <w:rsid w:val="00A67EB1"/>
    <w:rsid w:val="00A74F45"/>
    <w:rsid w:val="00A9011D"/>
    <w:rsid w:val="00A91A47"/>
    <w:rsid w:val="00A95D2B"/>
    <w:rsid w:val="00AA5587"/>
    <w:rsid w:val="00AB4ECE"/>
    <w:rsid w:val="00AC1E53"/>
    <w:rsid w:val="00AD79C8"/>
    <w:rsid w:val="00AE6CE0"/>
    <w:rsid w:val="00B058A6"/>
    <w:rsid w:val="00B117D0"/>
    <w:rsid w:val="00B13998"/>
    <w:rsid w:val="00B27A79"/>
    <w:rsid w:val="00B35C5F"/>
    <w:rsid w:val="00B439DD"/>
    <w:rsid w:val="00B45A8E"/>
    <w:rsid w:val="00B50F53"/>
    <w:rsid w:val="00B52E0F"/>
    <w:rsid w:val="00B74629"/>
    <w:rsid w:val="00B91F58"/>
    <w:rsid w:val="00B97B19"/>
    <w:rsid w:val="00BA579E"/>
    <w:rsid w:val="00BA7900"/>
    <w:rsid w:val="00BC75FA"/>
    <w:rsid w:val="00BD37A7"/>
    <w:rsid w:val="00BE2295"/>
    <w:rsid w:val="00BE6373"/>
    <w:rsid w:val="00BF533A"/>
    <w:rsid w:val="00BF6974"/>
    <w:rsid w:val="00C03E30"/>
    <w:rsid w:val="00C05685"/>
    <w:rsid w:val="00C25084"/>
    <w:rsid w:val="00C41794"/>
    <w:rsid w:val="00C46677"/>
    <w:rsid w:val="00C5180E"/>
    <w:rsid w:val="00C54E40"/>
    <w:rsid w:val="00C55F56"/>
    <w:rsid w:val="00C57BA4"/>
    <w:rsid w:val="00C613EB"/>
    <w:rsid w:val="00C71C1A"/>
    <w:rsid w:val="00C71DE9"/>
    <w:rsid w:val="00C76170"/>
    <w:rsid w:val="00C84623"/>
    <w:rsid w:val="00C87768"/>
    <w:rsid w:val="00CA3111"/>
    <w:rsid w:val="00CB06C9"/>
    <w:rsid w:val="00CB1E41"/>
    <w:rsid w:val="00CB271C"/>
    <w:rsid w:val="00CC0379"/>
    <w:rsid w:val="00CC0F87"/>
    <w:rsid w:val="00CD07A6"/>
    <w:rsid w:val="00CE4F96"/>
    <w:rsid w:val="00CF0AB1"/>
    <w:rsid w:val="00CF4B9B"/>
    <w:rsid w:val="00CF55E6"/>
    <w:rsid w:val="00CF772F"/>
    <w:rsid w:val="00D0181C"/>
    <w:rsid w:val="00D048DB"/>
    <w:rsid w:val="00D14F0B"/>
    <w:rsid w:val="00D178CA"/>
    <w:rsid w:val="00D266A0"/>
    <w:rsid w:val="00D3311C"/>
    <w:rsid w:val="00D37A23"/>
    <w:rsid w:val="00D453A7"/>
    <w:rsid w:val="00D53405"/>
    <w:rsid w:val="00D5457B"/>
    <w:rsid w:val="00D72995"/>
    <w:rsid w:val="00D73685"/>
    <w:rsid w:val="00D819AA"/>
    <w:rsid w:val="00D962CC"/>
    <w:rsid w:val="00DA70D2"/>
    <w:rsid w:val="00DA7FA2"/>
    <w:rsid w:val="00DC2D8D"/>
    <w:rsid w:val="00DC4E46"/>
    <w:rsid w:val="00DC7F67"/>
    <w:rsid w:val="00DD05AA"/>
    <w:rsid w:val="00DE1F5D"/>
    <w:rsid w:val="00DE50D8"/>
    <w:rsid w:val="00DF278A"/>
    <w:rsid w:val="00E067E7"/>
    <w:rsid w:val="00E12153"/>
    <w:rsid w:val="00E15698"/>
    <w:rsid w:val="00E1664B"/>
    <w:rsid w:val="00E16B7D"/>
    <w:rsid w:val="00E16EC2"/>
    <w:rsid w:val="00E27471"/>
    <w:rsid w:val="00E30D12"/>
    <w:rsid w:val="00E3394E"/>
    <w:rsid w:val="00E35241"/>
    <w:rsid w:val="00E37581"/>
    <w:rsid w:val="00E41417"/>
    <w:rsid w:val="00E42FAA"/>
    <w:rsid w:val="00E536D3"/>
    <w:rsid w:val="00E5791C"/>
    <w:rsid w:val="00E57BE2"/>
    <w:rsid w:val="00E62A95"/>
    <w:rsid w:val="00E636CF"/>
    <w:rsid w:val="00E73196"/>
    <w:rsid w:val="00E746A2"/>
    <w:rsid w:val="00E90D06"/>
    <w:rsid w:val="00E917E2"/>
    <w:rsid w:val="00E97E59"/>
    <w:rsid w:val="00EA79C9"/>
    <w:rsid w:val="00EB23CA"/>
    <w:rsid w:val="00EB66AC"/>
    <w:rsid w:val="00EC1225"/>
    <w:rsid w:val="00EC2247"/>
    <w:rsid w:val="00EC5EF2"/>
    <w:rsid w:val="00ED6A96"/>
    <w:rsid w:val="00EE1F87"/>
    <w:rsid w:val="00EE3931"/>
    <w:rsid w:val="00EE5AF6"/>
    <w:rsid w:val="00EF2CEF"/>
    <w:rsid w:val="00F03E02"/>
    <w:rsid w:val="00F060B3"/>
    <w:rsid w:val="00F1092D"/>
    <w:rsid w:val="00F15287"/>
    <w:rsid w:val="00F179E5"/>
    <w:rsid w:val="00F219CF"/>
    <w:rsid w:val="00F42C20"/>
    <w:rsid w:val="00F431D8"/>
    <w:rsid w:val="00F63E8D"/>
    <w:rsid w:val="00F67706"/>
    <w:rsid w:val="00F8076D"/>
    <w:rsid w:val="00F81FE3"/>
    <w:rsid w:val="00F90F82"/>
    <w:rsid w:val="00F92D75"/>
    <w:rsid w:val="00F97327"/>
    <w:rsid w:val="00FA296F"/>
    <w:rsid w:val="00FA2CB8"/>
    <w:rsid w:val="00FA4E05"/>
    <w:rsid w:val="00FA7323"/>
    <w:rsid w:val="00FB1299"/>
    <w:rsid w:val="00FC32D3"/>
    <w:rsid w:val="00FD2D4E"/>
    <w:rsid w:val="00FD4D82"/>
    <w:rsid w:val="00FE57AE"/>
    <w:rsid w:val="00FF03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5B8DA2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E41"/>
  </w:style>
  <w:style w:type="paragraph" w:styleId="Heading1">
    <w:name w:val="heading 1"/>
    <w:basedOn w:val="Normal"/>
    <w:next w:val="Normal"/>
    <w:link w:val="Heading1Char"/>
    <w:uiPriority w:val="9"/>
    <w:qFormat/>
    <w:rsid w:val="00E636C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 w:type="character" w:customStyle="1" w:styleId="InternetLink">
    <w:name w:val="Internet Link"/>
    <w:rsid w:val="00725D4C"/>
    <w:rPr>
      <w:color w:val="000080"/>
      <w:u w:val="single"/>
    </w:rPr>
  </w:style>
  <w:style w:type="character" w:customStyle="1" w:styleId="Heading1Char">
    <w:name w:val="Heading 1 Char"/>
    <w:basedOn w:val="DefaultParagraphFont"/>
    <w:link w:val="Heading1"/>
    <w:uiPriority w:val="9"/>
    <w:rsid w:val="00E636CF"/>
    <w:rPr>
      <w:rFonts w:asciiTheme="majorHAnsi" w:eastAsiaTheme="majorEastAsia" w:hAnsiTheme="majorHAnsi" w:cstheme="majorBidi"/>
      <w:color w:val="365F91" w:themeColor="accent1" w:themeShade="BF"/>
      <w:sz w:val="32"/>
      <w:szCs w:val="32"/>
    </w:rPr>
  </w:style>
  <w:style w:type="paragraph" w:styleId="BodyText2">
    <w:name w:val="Body Text 2"/>
    <w:basedOn w:val="Normal"/>
    <w:link w:val="BodyText2Char"/>
    <w:uiPriority w:val="99"/>
    <w:unhideWhenUsed/>
    <w:rsid w:val="00C03E30"/>
    <w:pPr>
      <w:ind w:left="720" w:firstLine="0"/>
    </w:pPr>
    <w:rPr>
      <w:rFonts w:ascii="Arial" w:eastAsia="Times New Roman" w:hAnsi="Arial" w:cs="Times New Roman"/>
      <w:szCs w:val="24"/>
      <w:lang w:val="x-none" w:eastAsia="x-none"/>
    </w:rPr>
  </w:style>
  <w:style w:type="character" w:customStyle="1" w:styleId="BodyText2Char">
    <w:name w:val="Body Text 2 Char"/>
    <w:basedOn w:val="DefaultParagraphFont"/>
    <w:link w:val="BodyText2"/>
    <w:uiPriority w:val="99"/>
    <w:rsid w:val="00C03E30"/>
    <w:rPr>
      <w:rFonts w:ascii="Arial" w:eastAsia="Times New Roman" w:hAnsi="Arial" w:cs="Times New Roman"/>
      <w:szCs w:val="24"/>
      <w:lang w:val="x-none" w:eastAsia="x-none"/>
    </w:rPr>
  </w:style>
  <w:style w:type="paragraph" w:customStyle="1" w:styleId="EndNoteBibliography">
    <w:name w:val="EndNote Bibliography"/>
    <w:basedOn w:val="Normal"/>
    <w:link w:val="EndNoteBibliographyChar"/>
    <w:rsid w:val="00C03E30"/>
    <w:pPr>
      <w:spacing w:after="160"/>
      <w:ind w:left="0" w:firstLine="0"/>
    </w:pPr>
    <w:rPr>
      <w:rFonts w:ascii="Calibri" w:hAnsi="Calibri"/>
      <w:noProof/>
    </w:rPr>
  </w:style>
  <w:style w:type="character" w:customStyle="1" w:styleId="EndNoteBibliographyChar">
    <w:name w:val="EndNote Bibliography Char"/>
    <w:basedOn w:val="DefaultParagraphFont"/>
    <w:link w:val="EndNoteBibliography"/>
    <w:rsid w:val="00C03E30"/>
    <w:rPr>
      <w:rFonts w:ascii="Calibri" w:hAnsi="Calibri"/>
      <w:noProof/>
    </w:rPr>
  </w:style>
  <w:style w:type="character" w:customStyle="1" w:styleId="highwire-citation-authors">
    <w:name w:val="highwire-citation-authors"/>
    <w:basedOn w:val="DefaultParagraphFont"/>
    <w:rsid w:val="00E16EC2"/>
  </w:style>
  <w:style w:type="character" w:customStyle="1" w:styleId="highwire-citation-author4">
    <w:name w:val="highwire-citation-author4"/>
    <w:basedOn w:val="DefaultParagraphFont"/>
    <w:rsid w:val="00E16EC2"/>
  </w:style>
  <w:style w:type="character" w:customStyle="1" w:styleId="nlm-surname">
    <w:name w:val="nlm-surname"/>
    <w:basedOn w:val="DefaultParagraphFont"/>
    <w:rsid w:val="00E16EC2"/>
  </w:style>
  <w:style w:type="character" w:customStyle="1" w:styleId="citation-et1">
    <w:name w:val="citation-et1"/>
    <w:basedOn w:val="DefaultParagraphFont"/>
    <w:rsid w:val="00E16EC2"/>
    <w:rPr>
      <w:i/>
      <w:iCs/>
    </w:rPr>
  </w:style>
  <w:style w:type="character" w:customStyle="1" w:styleId="highwire-cite-metadata-journal2">
    <w:name w:val="highwire-cite-metadata-journal2"/>
    <w:basedOn w:val="DefaultParagraphFont"/>
    <w:rsid w:val="00E16EC2"/>
  </w:style>
  <w:style w:type="character" w:customStyle="1" w:styleId="highwire-cite-metadata-date">
    <w:name w:val="highwire-cite-metadata-date"/>
    <w:basedOn w:val="DefaultParagraphFont"/>
    <w:rsid w:val="00E16EC2"/>
  </w:style>
  <w:style w:type="character" w:customStyle="1" w:styleId="label">
    <w:name w:val="label"/>
    <w:basedOn w:val="DefaultParagraphFont"/>
    <w:rsid w:val="00E16EC2"/>
  </w:style>
  <w:style w:type="character" w:customStyle="1" w:styleId="highwire-cite-metadata-doi">
    <w:name w:val="highwire-cite-metadata-doi"/>
    <w:basedOn w:val="DefaultParagraphFont"/>
    <w:rsid w:val="00E16EC2"/>
  </w:style>
  <w:style w:type="paragraph" w:styleId="BodyText">
    <w:name w:val="Body Text"/>
    <w:basedOn w:val="Normal"/>
    <w:link w:val="BodyTextChar"/>
    <w:uiPriority w:val="99"/>
    <w:semiHidden/>
    <w:unhideWhenUsed/>
    <w:rsid w:val="00435B7B"/>
    <w:pPr>
      <w:spacing w:after="120"/>
    </w:pPr>
  </w:style>
  <w:style w:type="character" w:customStyle="1" w:styleId="BodyTextChar">
    <w:name w:val="Body Text Char"/>
    <w:basedOn w:val="DefaultParagraphFont"/>
    <w:link w:val="BodyText"/>
    <w:uiPriority w:val="99"/>
    <w:semiHidden/>
    <w:rsid w:val="00435B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9515092">
      <w:bodyDiv w:val="1"/>
      <w:marLeft w:val="0"/>
      <w:marRight w:val="0"/>
      <w:marTop w:val="0"/>
      <w:marBottom w:val="0"/>
      <w:divBdr>
        <w:top w:val="none" w:sz="0" w:space="0" w:color="auto"/>
        <w:left w:val="none" w:sz="0" w:space="0" w:color="auto"/>
        <w:bottom w:val="none" w:sz="0" w:space="0" w:color="auto"/>
        <w:right w:val="none" w:sz="0" w:space="0" w:color="auto"/>
      </w:divBdr>
      <w:divsChild>
        <w:div w:id="1298603039">
          <w:marLeft w:val="0"/>
          <w:marRight w:val="0"/>
          <w:marTop w:val="0"/>
          <w:marBottom w:val="0"/>
          <w:divBdr>
            <w:top w:val="none" w:sz="0" w:space="0" w:color="auto"/>
            <w:left w:val="none" w:sz="0" w:space="0" w:color="auto"/>
            <w:bottom w:val="none" w:sz="0" w:space="0" w:color="auto"/>
            <w:right w:val="none" w:sz="0" w:space="0" w:color="auto"/>
          </w:divBdr>
          <w:divsChild>
            <w:div w:id="1089160272">
              <w:marLeft w:val="0"/>
              <w:marRight w:val="0"/>
              <w:marTop w:val="0"/>
              <w:marBottom w:val="0"/>
              <w:divBdr>
                <w:top w:val="none" w:sz="0" w:space="0" w:color="auto"/>
                <w:left w:val="none" w:sz="0" w:space="0" w:color="auto"/>
                <w:bottom w:val="none" w:sz="0" w:space="0" w:color="auto"/>
                <w:right w:val="none" w:sz="0" w:space="0" w:color="auto"/>
              </w:divBdr>
              <w:divsChild>
                <w:div w:id="269898369">
                  <w:marLeft w:val="0"/>
                  <w:marRight w:val="0"/>
                  <w:marTop w:val="0"/>
                  <w:marBottom w:val="0"/>
                  <w:divBdr>
                    <w:top w:val="none" w:sz="0" w:space="0" w:color="auto"/>
                    <w:left w:val="none" w:sz="0" w:space="0" w:color="auto"/>
                    <w:bottom w:val="none" w:sz="0" w:space="0" w:color="auto"/>
                    <w:right w:val="none" w:sz="0" w:space="0" w:color="auto"/>
                  </w:divBdr>
                  <w:divsChild>
                    <w:div w:id="74867592">
                      <w:marLeft w:val="0"/>
                      <w:marRight w:val="0"/>
                      <w:marTop w:val="0"/>
                      <w:marBottom w:val="0"/>
                      <w:divBdr>
                        <w:top w:val="none" w:sz="0" w:space="0" w:color="auto"/>
                        <w:left w:val="none" w:sz="0" w:space="0" w:color="auto"/>
                        <w:bottom w:val="none" w:sz="0" w:space="0" w:color="auto"/>
                        <w:right w:val="none" w:sz="0" w:space="0" w:color="auto"/>
                      </w:divBdr>
                      <w:divsChild>
                        <w:div w:id="1301379207">
                          <w:marLeft w:val="0"/>
                          <w:marRight w:val="0"/>
                          <w:marTop w:val="0"/>
                          <w:marBottom w:val="0"/>
                          <w:divBdr>
                            <w:top w:val="none" w:sz="0" w:space="0" w:color="auto"/>
                            <w:left w:val="none" w:sz="0" w:space="0" w:color="auto"/>
                            <w:bottom w:val="none" w:sz="0" w:space="0" w:color="auto"/>
                            <w:right w:val="none" w:sz="0" w:space="0" w:color="auto"/>
                          </w:divBdr>
                          <w:divsChild>
                            <w:div w:id="173569645">
                              <w:marLeft w:val="0"/>
                              <w:marRight w:val="0"/>
                              <w:marTop w:val="0"/>
                              <w:marBottom w:val="0"/>
                              <w:divBdr>
                                <w:top w:val="none" w:sz="0" w:space="0" w:color="auto"/>
                                <w:left w:val="none" w:sz="0" w:space="0" w:color="auto"/>
                                <w:bottom w:val="none" w:sz="0" w:space="0" w:color="auto"/>
                                <w:right w:val="none" w:sz="0" w:space="0" w:color="auto"/>
                              </w:divBdr>
                              <w:divsChild>
                                <w:div w:id="1065223362">
                                  <w:marLeft w:val="0"/>
                                  <w:marRight w:val="0"/>
                                  <w:marTop w:val="0"/>
                                  <w:marBottom w:val="0"/>
                                  <w:divBdr>
                                    <w:top w:val="none" w:sz="0" w:space="0" w:color="auto"/>
                                    <w:left w:val="none" w:sz="0" w:space="0" w:color="auto"/>
                                    <w:bottom w:val="none" w:sz="0" w:space="0" w:color="auto"/>
                                    <w:right w:val="none" w:sz="0" w:space="0" w:color="auto"/>
                                  </w:divBdr>
                                  <w:divsChild>
                                    <w:div w:id="2007128469">
                                      <w:marLeft w:val="0"/>
                                      <w:marRight w:val="0"/>
                                      <w:marTop w:val="0"/>
                                      <w:marBottom w:val="0"/>
                                      <w:divBdr>
                                        <w:top w:val="none" w:sz="0" w:space="0" w:color="auto"/>
                                        <w:left w:val="none" w:sz="0" w:space="0" w:color="auto"/>
                                        <w:bottom w:val="none" w:sz="0" w:space="0" w:color="auto"/>
                                        <w:right w:val="none" w:sz="0" w:space="0" w:color="auto"/>
                                      </w:divBdr>
                                      <w:divsChild>
                                        <w:div w:id="613172332">
                                          <w:marLeft w:val="0"/>
                                          <w:marRight w:val="0"/>
                                          <w:marTop w:val="0"/>
                                          <w:marBottom w:val="0"/>
                                          <w:divBdr>
                                            <w:top w:val="none" w:sz="0" w:space="0" w:color="auto"/>
                                            <w:left w:val="none" w:sz="0" w:space="0" w:color="auto"/>
                                            <w:bottom w:val="none" w:sz="0" w:space="0" w:color="auto"/>
                                            <w:right w:val="none" w:sz="0" w:space="0" w:color="auto"/>
                                          </w:divBdr>
                                          <w:divsChild>
                                            <w:div w:id="70741464">
                                              <w:marLeft w:val="0"/>
                                              <w:marRight w:val="0"/>
                                              <w:marTop w:val="0"/>
                                              <w:marBottom w:val="0"/>
                                              <w:divBdr>
                                                <w:top w:val="none" w:sz="0" w:space="0" w:color="auto"/>
                                                <w:left w:val="none" w:sz="0" w:space="0" w:color="auto"/>
                                                <w:bottom w:val="none" w:sz="0" w:space="0" w:color="auto"/>
                                                <w:right w:val="none" w:sz="0" w:space="0" w:color="auto"/>
                                              </w:divBdr>
                                              <w:divsChild>
                                                <w:div w:id="1009722150">
                                                  <w:marLeft w:val="0"/>
                                                  <w:marRight w:val="0"/>
                                                  <w:marTop w:val="0"/>
                                                  <w:marBottom w:val="0"/>
                                                  <w:divBdr>
                                                    <w:top w:val="none" w:sz="0" w:space="0" w:color="auto"/>
                                                    <w:left w:val="none" w:sz="0" w:space="0" w:color="auto"/>
                                                    <w:bottom w:val="none" w:sz="0" w:space="0" w:color="auto"/>
                                                    <w:right w:val="none" w:sz="0" w:space="0" w:color="auto"/>
                                                  </w:divBdr>
                                                  <w:divsChild>
                                                    <w:div w:id="1559784767">
                                                      <w:marLeft w:val="0"/>
                                                      <w:marRight w:val="0"/>
                                                      <w:marTop w:val="0"/>
                                                      <w:marBottom w:val="0"/>
                                                      <w:divBdr>
                                                        <w:top w:val="none" w:sz="0" w:space="0" w:color="auto"/>
                                                        <w:left w:val="none" w:sz="0" w:space="0" w:color="auto"/>
                                                        <w:bottom w:val="none" w:sz="0" w:space="0" w:color="auto"/>
                                                        <w:right w:val="none" w:sz="0" w:space="0" w:color="auto"/>
                                                      </w:divBdr>
                                                      <w:divsChild>
                                                        <w:div w:id="1664309053">
                                                          <w:marLeft w:val="0"/>
                                                          <w:marRight w:val="0"/>
                                                          <w:marTop w:val="0"/>
                                                          <w:marBottom w:val="0"/>
                                                          <w:divBdr>
                                                            <w:top w:val="none" w:sz="0" w:space="0" w:color="auto"/>
                                                            <w:left w:val="none" w:sz="0" w:space="0" w:color="auto"/>
                                                            <w:bottom w:val="none" w:sz="0" w:space="0" w:color="auto"/>
                                                            <w:right w:val="none" w:sz="0" w:space="0" w:color="auto"/>
                                                          </w:divBdr>
                                                          <w:divsChild>
                                                            <w:div w:id="1820730446">
                                                              <w:marLeft w:val="0"/>
                                                              <w:marRight w:val="0"/>
                                                              <w:marTop w:val="0"/>
                                                              <w:marBottom w:val="0"/>
                                                              <w:divBdr>
                                                                <w:top w:val="none" w:sz="0" w:space="0" w:color="auto"/>
                                                                <w:left w:val="none" w:sz="0" w:space="0" w:color="auto"/>
                                                                <w:bottom w:val="none" w:sz="0" w:space="0" w:color="auto"/>
                                                                <w:right w:val="none" w:sz="0" w:space="0" w:color="auto"/>
                                                              </w:divBdr>
                                                              <w:divsChild>
                                                                <w:div w:id="467356373">
                                                                  <w:marLeft w:val="0"/>
                                                                  <w:marRight w:val="0"/>
                                                                  <w:marTop w:val="0"/>
                                                                  <w:marBottom w:val="0"/>
                                                                  <w:divBdr>
                                                                    <w:top w:val="none" w:sz="0" w:space="0" w:color="auto"/>
                                                                    <w:left w:val="none" w:sz="0" w:space="0" w:color="auto"/>
                                                                    <w:bottom w:val="none" w:sz="0" w:space="0" w:color="auto"/>
                                                                    <w:right w:val="none" w:sz="0" w:space="0" w:color="auto"/>
                                                                  </w:divBdr>
                                                                  <w:divsChild>
                                                                    <w:div w:id="739913525">
                                                                      <w:marLeft w:val="0"/>
                                                                      <w:marRight w:val="0"/>
                                                                      <w:marTop w:val="0"/>
                                                                      <w:marBottom w:val="0"/>
                                                                      <w:divBdr>
                                                                        <w:top w:val="none" w:sz="0" w:space="0" w:color="auto"/>
                                                                        <w:left w:val="none" w:sz="0" w:space="0" w:color="auto"/>
                                                                        <w:bottom w:val="none" w:sz="0" w:space="0" w:color="auto"/>
                                                                        <w:right w:val="none" w:sz="0" w:space="0" w:color="auto"/>
                                                                      </w:divBdr>
                                                                      <w:divsChild>
                                                                        <w:div w:id="255096818">
                                                                          <w:marLeft w:val="0"/>
                                                                          <w:marRight w:val="0"/>
                                                                          <w:marTop w:val="0"/>
                                                                          <w:marBottom w:val="0"/>
                                                                          <w:divBdr>
                                                                            <w:top w:val="none" w:sz="0" w:space="0" w:color="auto"/>
                                                                            <w:left w:val="none" w:sz="0" w:space="0" w:color="auto"/>
                                                                            <w:bottom w:val="none" w:sz="0" w:space="0" w:color="auto"/>
                                                                            <w:right w:val="none" w:sz="0" w:space="0" w:color="auto"/>
                                                                          </w:divBdr>
                                                                          <w:divsChild>
                                                                            <w:div w:id="1866823232">
                                                                              <w:marLeft w:val="0"/>
                                                                              <w:marRight w:val="0"/>
                                                                              <w:marTop w:val="0"/>
                                                                              <w:marBottom w:val="0"/>
                                                                              <w:divBdr>
                                                                                <w:top w:val="none" w:sz="0" w:space="0" w:color="auto"/>
                                                                                <w:left w:val="none" w:sz="0" w:space="0" w:color="auto"/>
                                                                                <w:bottom w:val="none" w:sz="0" w:space="0" w:color="auto"/>
                                                                                <w:right w:val="none" w:sz="0" w:space="0" w:color="auto"/>
                                                                              </w:divBdr>
                                                                              <w:divsChild>
                                                                                <w:div w:id="1780876087">
                                                                                  <w:marLeft w:val="0"/>
                                                                                  <w:marRight w:val="0"/>
                                                                                  <w:marTop w:val="0"/>
                                                                                  <w:marBottom w:val="0"/>
                                                                                  <w:divBdr>
                                                                                    <w:top w:val="none" w:sz="0" w:space="0" w:color="auto"/>
                                                                                    <w:left w:val="none" w:sz="0" w:space="0" w:color="auto"/>
                                                                                    <w:bottom w:val="none" w:sz="0" w:space="0" w:color="auto"/>
                                                                                    <w:right w:val="none" w:sz="0" w:space="0" w:color="auto"/>
                                                                                  </w:divBdr>
                                                                                  <w:divsChild>
                                                                                    <w:div w:id="896281195">
                                                                                      <w:marLeft w:val="0"/>
                                                                                      <w:marRight w:val="0"/>
                                                                                      <w:marTop w:val="0"/>
                                                                                      <w:marBottom w:val="0"/>
                                                                                      <w:divBdr>
                                                                                        <w:top w:val="none" w:sz="0" w:space="0" w:color="auto"/>
                                                                                        <w:left w:val="none" w:sz="0" w:space="0" w:color="auto"/>
                                                                                        <w:bottom w:val="none" w:sz="0" w:space="0" w:color="auto"/>
                                                                                        <w:right w:val="none" w:sz="0" w:space="0" w:color="auto"/>
                                                                                      </w:divBdr>
                                                                                      <w:divsChild>
                                                                                        <w:div w:id="916209873">
                                                                                          <w:marLeft w:val="0"/>
                                                                                          <w:marRight w:val="0"/>
                                                                                          <w:marTop w:val="0"/>
                                                                                          <w:marBottom w:val="0"/>
                                                                                          <w:divBdr>
                                                                                            <w:top w:val="none" w:sz="0" w:space="0" w:color="auto"/>
                                                                                            <w:left w:val="none" w:sz="0" w:space="0" w:color="auto"/>
                                                                                            <w:bottom w:val="none" w:sz="0" w:space="0" w:color="auto"/>
                                                                                            <w:right w:val="none" w:sz="0" w:space="0" w:color="auto"/>
                                                                                          </w:divBdr>
                                                                                          <w:divsChild>
                                                                                            <w:div w:id="1617560027">
                                                                                              <w:marLeft w:val="0"/>
                                                                                              <w:marRight w:val="0"/>
                                                                                              <w:marTop w:val="0"/>
                                                                                              <w:marBottom w:val="0"/>
                                                                                              <w:divBdr>
                                                                                                <w:top w:val="none" w:sz="0" w:space="0" w:color="auto"/>
                                                                                                <w:left w:val="none" w:sz="0" w:space="0" w:color="auto"/>
                                                                                                <w:bottom w:val="none" w:sz="0" w:space="0" w:color="auto"/>
                                                                                                <w:right w:val="none" w:sz="0" w:space="0" w:color="auto"/>
                                                                                              </w:divBdr>
                                                                                              <w:divsChild>
                                                                                                <w:div w:id="1531801136">
                                                                                                  <w:marLeft w:val="0"/>
                                                                                                  <w:marRight w:val="0"/>
                                                                                                  <w:marTop w:val="0"/>
                                                                                                  <w:marBottom w:val="0"/>
                                                                                                  <w:divBdr>
                                                                                                    <w:top w:val="none" w:sz="0" w:space="0" w:color="auto"/>
                                                                                                    <w:left w:val="none" w:sz="0" w:space="0" w:color="auto"/>
                                                                                                    <w:bottom w:val="none" w:sz="0" w:space="0" w:color="auto"/>
                                                                                                    <w:right w:val="none" w:sz="0" w:space="0" w:color="auto"/>
                                                                                                  </w:divBdr>
                                                                                                  <w:divsChild>
                                                                                                    <w:div w:id="1605530778">
                                                                                                      <w:marLeft w:val="0"/>
                                                                                                      <w:marRight w:val="0"/>
                                                                                                      <w:marTop w:val="0"/>
                                                                                                      <w:marBottom w:val="0"/>
                                                                                                      <w:divBdr>
                                                                                                        <w:top w:val="none" w:sz="0" w:space="0" w:color="auto"/>
                                                                                                        <w:left w:val="none" w:sz="0" w:space="0" w:color="auto"/>
                                                                                                        <w:bottom w:val="none" w:sz="0" w:space="0" w:color="auto"/>
                                                                                                        <w:right w:val="none" w:sz="0" w:space="0" w:color="auto"/>
                                                                                                      </w:divBdr>
                                                                                                      <w:divsChild>
                                                                                                        <w:div w:id="1063913608">
                                                                                                          <w:marLeft w:val="0"/>
                                                                                                          <w:marRight w:val="0"/>
                                                                                                          <w:marTop w:val="0"/>
                                                                                                          <w:marBottom w:val="525"/>
                                                                                                          <w:divBdr>
                                                                                                            <w:top w:val="none" w:sz="0" w:space="0" w:color="auto"/>
                                                                                                            <w:left w:val="none" w:sz="0" w:space="0" w:color="auto"/>
                                                                                                            <w:bottom w:val="none" w:sz="0" w:space="0" w:color="auto"/>
                                                                                                            <w:right w:val="none" w:sz="0" w:space="0" w:color="auto"/>
                                                                                                          </w:divBdr>
                                                                                                          <w:divsChild>
                                                                                                            <w:div w:id="269168945">
                                                                                                              <w:marLeft w:val="0"/>
                                                                                                              <w:marRight w:val="0"/>
                                                                                                              <w:marTop w:val="0"/>
                                                                                                              <w:marBottom w:val="0"/>
                                                                                                              <w:divBdr>
                                                                                                                <w:top w:val="none" w:sz="0" w:space="0" w:color="auto"/>
                                                                                                                <w:left w:val="none" w:sz="0" w:space="0" w:color="auto"/>
                                                                                                                <w:bottom w:val="none" w:sz="0" w:space="0" w:color="auto"/>
                                                                                                                <w:right w:val="none" w:sz="0" w:space="0" w:color="auto"/>
                                                                                                              </w:divBdr>
                                                                                                              <w:divsChild>
                                                                                                                <w:div w:id="1053578573">
                                                                                                                  <w:marLeft w:val="0"/>
                                                                                                                  <w:marRight w:val="0"/>
                                                                                                                  <w:marTop w:val="0"/>
                                                                                                                  <w:marBottom w:val="0"/>
                                                                                                                  <w:divBdr>
                                                                                                                    <w:top w:val="none" w:sz="0" w:space="0" w:color="auto"/>
                                                                                                                    <w:left w:val="none" w:sz="0" w:space="0" w:color="auto"/>
                                                                                                                    <w:bottom w:val="none" w:sz="0" w:space="0" w:color="auto"/>
                                                                                                                    <w:right w:val="none" w:sz="0" w:space="0" w:color="auto"/>
                                                                                                                  </w:divBdr>
                                                                                                                  <w:divsChild>
                                                                                                                    <w:div w:id="1333141832">
                                                                                                                      <w:marLeft w:val="0"/>
                                                                                                                      <w:marRight w:val="0"/>
                                                                                                                      <w:marTop w:val="0"/>
                                                                                                                      <w:marBottom w:val="0"/>
                                                                                                                      <w:divBdr>
                                                                                                                        <w:top w:val="none" w:sz="0" w:space="0" w:color="auto"/>
                                                                                                                        <w:left w:val="none" w:sz="0" w:space="0" w:color="auto"/>
                                                                                                                        <w:bottom w:val="none" w:sz="0" w:space="0" w:color="auto"/>
                                                                                                                        <w:right w:val="none" w:sz="0" w:space="0" w:color="auto"/>
                                                                                                                      </w:divBdr>
                                                                                                                    </w:div>
                                                                                                                    <w:div w:id="1759671998">
                                                                                                                      <w:marLeft w:val="0"/>
                                                                                                                      <w:marRight w:val="0"/>
                                                                                                                      <w:marTop w:val="0"/>
                                                                                                                      <w:marBottom w:val="0"/>
                                                                                                                      <w:divBdr>
                                                                                                                        <w:top w:val="none" w:sz="0" w:space="0" w:color="auto"/>
                                                                                                                        <w:left w:val="none" w:sz="0" w:space="0" w:color="auto"/>
                                                                                                                        <w:bottom w:val="none" w:sz="0" w:space="0" w:color="auto"/>
                                                                                                                        <w:right w:val="none" w:sz="0" w:space="0" w:color="auto"/>
                                                                                                                      </w:divBdr>
                                                                                                                    </w:div>
                                                                                                                    <w:div w:id="1898206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radeworkinggroup.org" TargetMode="External"/><Relationship Id="rId18" Type="http://schemas.openxmlformats.org/officeDocument/2006/relationships/diagramQuickStyle" Target="diagrams/quickStyl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diagramLayout" Target="diagrams/layout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diagramData" Target="diagrams/data1.xml"/><Relationship Id="rId20" Type="http://schemas.microsoft.com/office/2007/relationships/diagramDrawing" Target="diagrams/drawing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www.aqaalliance.org/files/PrinciplesofEfficiencyMeasurementApril2006.doc"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diagramColors" Target="diagrams/colors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qualityforum.org/Publications/2010/01/Measurement_Framework__Evaluating_Efficiency_Across_Patient-Focused_Episodes_of_Care.aspx" TargetMode="External"/><Relationship Id="rId22" Type="http://schemas.openxmlformats.org/officeDocument/2006/relationships/footer" Target="footer1.xm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3BBB9D8-6988-4AA6-A9F1-5DB2703C27BD}" type="doc">
      <dgm:prSet loTypeId="urn:microsoft.com/office/officeart/2005/8/layout/process1" loCatId="process" qsTypeId="urn:microsoft.com/office/officeart/2005/8/quickstyle/simple3" qsCatId="simple" csTypeId="urn:microsoft.com/office/officeart/2005/8/colors/colorful5" csCatId="colorful" phldr="1"/>
      <dgm:spPr/>
      <dgm:t>
        <a:bodyPr/>
        <a:lstStyle/>
        <a:p>
          <a:endParaRPr lang="en-US"/>
        </a:p>
      </dgm:t>
    </dgm:pt>
    <dgm:pt modelId="{4F86E6FA-265A-4452-8545-DA22C251FE40}">
      <dgm:prSet phldrT="[Text]" custT="1"/>
      <dgm:spPr/>
      <dgm:t>
        <a:bodyPr/>
        <a:lstStyle/>
        <a:p>
          <a:r>
            <a:rPr lang="en-US" sz="1200"/>
            <a:t>Improved patient health </a:t>
          </a:r>
          <a:endParaRPr lang="en-US" sz="1200" strike="sngStrike">
            <a:solidFill>
              <a:srgbClr val="FF0000"/>
            </a:solidFill>
          </a:endParaRPr>
        </a:p>
      </dgm:t>
    </dgm:pt>
    <dgm:pt modelId="{97DC5BA4-ACEB-40E4-A1ED-AC3A710933E6}" type="parTrans" cxnId="{2105A434-DCC8-4282-BC92-5B63162321DF}">
      <dgm:prSet/>
      <dgm:spPr/>
      <dgm:t>
        <a:bodyPr/>
        <a:lstStyle/>
        <a:p>
          <a:endParaRPr lang="en-US"/>
        </a:p>
      </dgm:t>
    </dgm:pt>
    <dgm:pt modelId="{8611B788-AB0B-4F38-83D0-2740CE55AD00}" type="sibTrans" cxnId="{2105A434-DCC8-4282-BC92-5B63162321DF}">
      <dgm:prSet/>
      <dgm:spPr/>
      <dgm:t>
        <a:bodyPr/>
        <a:lstStyle/>
        <a:p>
          <a:endParaRPr lang="en-US"/>
        </a:p>
      </dgm:t>
    </dgm:pt>
    <dgm:pt modelId="{3851AB3F-4082-497C-81FA-C81D9AF15B49}">
      <dgm:prSet phldrT="[Text]" custT="1"/>
      <dgm:spPr/>
      <dgm:t>
        <a:bodyPr/>
        <a:lstStyle/>
        <a:p>
          <a:pPr algn="l"/>
          <a:r>
            <a:rPr lang="en-US" sz="1200"/>
            <a:t>Reducing healthcare costs while incentivizing multidisplinary care</a:t>
          </a:r>
        </a:p>
        <a:p>
          <a:pPr algn="l"/>
          <a:r>
            <a:rPr lang="en-US" sz="1200"/>
            <a:t>Improving communication among providers involved in care transition</a:t>
          </a:r>
        </a:p>
        <a:p>
          <a:pPr algn="l"/>
          <a:r>
            <a:rPr lang="en-US" sz="1200"/>
            <a:t>Encouraging strategies that promote disease management</a:t>
          </a:r>
        </a:p>
      </dgm:t>
    </dgm:pt>
    <dgm:pt modelId="{28CFFA8C-6ED8-46FD-9EAC-15BD3526077B}" type="sibTrans" cxnId="{549F2EBE-E2C4-4373-9B49-E4B46198E283}">
      <dgm:prSet/>
      <dgm:spPr/>
      <dgm:t>
        <a:bodyPr/>
        <a:lstStyle/>
        <a:p>
          <a:endParaRPr lang="en-US"/>
        </a:p>
      </dgm:t>
    </dgm:pt>
    <dgm:pt modelId="{671BB176-C359-47B2-82D1-FA13F61B927D}" type="parTrans" cxnId="{549F2EBE-E2C4-4373-9B49-E4B46198E283}">
      <dgm:prSet/>
      <dgm:spPr/>
      <dgm:t>
        <a:bodyPr/>
        <a:lstStyle/>
        <a:p>
          <a:endParaRPr lang="en-US"/>
        </a:p>
      </dgm:t>
    </dgm:pt>
    <dgm:pt modelId="{3F4804B5-9C4F-4298-BDA1-B6B18B86B8F9}">
      <dgm:prSet phldrT="[Text]" custT="1"/>
      <dgm:spPr/>
      <dgm:t>
        <a:bodyPr/>
        <a:lstStyle/>
        <a:p>
          <a:r>
            <a:rPr lang="en-US" sz="1200"/>
            <a:t>Decreased risk of mortality</a:t>
          </a:r>
        </a:p>
      </dgm:t>
    </dgm:pt>
    <dgm:pt modelId="{D60B0D25-1C8B-4ED4-8370-DB750F3A78D6}" type="sibTrans" cxnId="{344C23D5-B493-4A1A-8F87-3CDB9E2C7628}">
      <dgm:prSet/>
      <dgm:spPr/>
      <dgm:t>
        <a:bodyPr/>
        <a:lstStyle/>
        <a:p>
          <a:endParaRPr lang="en-US"/>
        </a:p>
      </dgm:t>
    </dgm:pt>
    <dgm:pt modelId="{5CFCD48A-C2FA-48FA-A8C9-BE9B6BF3CB57}" type="parTrans" cxnId="{344C23D5-B493-4A1A-8F87-3CDB9E2C7628}">
      <dgm:prSet/>
      <dgm:spPr/>
      <dgm:t>
        <a:bodyPr/>
        <a:lstStyle/>
        <a:p>
          <a:endParaRPr lang="en-US"/>
        </a:p>
      </dgm:t>
    </dgm:pt>
    <dgm:pt modelId="{97665F0E-13FF-44DB-AD86-D42C1254633B}" type="pres">
      <dgm:prSet presAssocID="{43BBB9D8-6988-4AA6-A9F1-5DB2703C27BD}" presName="Name0" presStyleCnt="0">
        <dgm:presLayoutVars>
          <dgm:dir/>
          <dgm:resizeHandles val="exact"/>
        </dgm:presLayoutVars>
      </dgm:prSet>
      <dgm:spPr/>
      <dgm:t>
        <a:bodyPr/>
        <a:lstStyle/>
        <a:p>
          <a:endParaRPr lang="en-US"/>
        </a:p>
      </dgm:t>
    </dgm:pt>
    <dgm:pt modelId="{8A78CA4B-14DA-4219-87C3-9798B83C7FD8}" type="pres">
      <dgm:prSet presAssocID="{3851AB3F-4082-497C-81FA-C81D9AF15B49}" presName="node" presStyleLbl="node1" presStyleIdx="0" presStyleCnt="3" custScaleY="206953" custLinFactNeighborX="-1301">
        <dgm:presLayoutVars>
          <dgm:bulletEnabled val="1"/>
        </dgm:presLayoutVars>
      </dgm:prSet>
      <dgm:spPr/>
      <dgm:t>
        <a:bodyPr/>
        <a:lstStyle/>
        <a:p>
          <a:endParaRPr lang="en-US"/>
        </a:p>
      </dgm:t>
    </dgm:pt>
    <dgm:pt modelId="{4AFF4BEB-3343-438B-8AFB-660EADE77186}" type="pres">
      <dgm:prSet presAssocID="{28CFFA8C-6ED8-46FD-9EAC-15BD3526077B}" presName="sibTrans" presStyleLbl="sibTrans2D1" presStyleIdx="0" presStyleCnt="2"/>
      <dgm:spPr/>
      <dgm:t>
        <a:bodyPr/>
        <a:lstStyle/>
        <a:p>
          <a:endParaRPr lang="en-US"/>
        </a:p>
      </dgm:t>
    </dgm:pt>
    <dgm:pt modelId="{A85AF43B-0987-455F-8BC6-46B16F4F73C4}" type="pres">
      <dgm:prSet presAssocID="{28CFFA8C-6ED8-46FD-9EAC-15BD3526077B}" presName="connectorText" presStyleLbl="sibTrans2D1" presStyleIdx="0" presStyleCnt="2"/>
      <dgm:spPr/>
      <dgm:t>
        <a:bodyPr/>
        <a:lstStyle/>
        <a:p>
          <a:endParaRPr lang="en-US"/>
        </a:p>
      </dgm:t>
    </dgm:pt>
    <dgm:pt modelId="{84C724E2-5055-490E-95A9-61FB8E5AC18C}" type="pres">
      <dgm:prSet presAssocID="{4F86E6FA-265A-4452-8545-DA22C251FE40}" presName="node" presStyleLbl="node1" presStyleIdx="1" presStyleCnt="3" custScaleY="211134" custLinFactNeighborX="-43942" custLinFactNeighborY="2090">
        <dgm:presLayoutVars>
          <dgm:bulletEnabled val="1"/>
        </dgm:presLayoutVars>
      </dgm:prSet>
      <dgm:spPr/>
      <dgm:t>
        <a:bodyPr/>
        <a:lstStyle/>
        <a:p>
          <a:endParaRPr lang="en-US"/>
        </a:p>
      </dgm:t>
    </dgm:pt>
    <dgm:pt modelId="{6A4AA677-9FEC-4CAF-9F4E-BC6BA4D08BB1}" type="pres">
      <dgm:prSet presAssocID="{8611B788-AB0B-4F38-83D0-2740CE55AD00}" presName="sibTrans" presStyleLbl="sibTrans2D1" presStyleIdx="1" presStyleCnt="2"/>
      <dgm:spPr/>
      <dgm:t>
        <a:bodyPr/>
        <a:lstStyle/>
        <a:p>
          <a:endParaRPr lang="en-US"/>
        </a:p>
      </dgm:t>
    </dgm:pt>
    <dgm:pt modelId="{2F5C9457-845D-4629-9448-93E7A23C0DD2}" type="pres">
      <dgm:prSet presAssocID="{8611B788-AB0B-4F38-83D0-2740CE55AD00}" presName="connectorText" presStyleLbl="sibTrans2D1" presStyleIdx="1" presStyleCnt="2"/>
      <dgm:spPr/>
      <dgm:t>
        <a:bodyPr/>
        <a:lstStyle/>
        <a:p>
          <a:endParaRPr lang="en-US"/>
        </a:p>
      </dgm:t>
    </dgm:pt>
    <dgm:pt modelId="{1DF5ADDA-8A91-4E11-80A9-45182D310E39}" type="pres">
      <dgm:prSet presAssocID="{3F4804B5-9C4F-4298-BDA1-B6B18B86B8F9}" presName="node" presStyleLbl="node1" presStyleIdx="2" presStyleCnt="3" custScaleY="192320">
        <dgm:presLayoutVars>
          <dgm:bulletEnabled val="1"/>
        </dgm:presLayoutVars>
      </dgm:prSet>
      <dgm:spPr/>
      <dgm:t>
        <a:bodyPr/>
        <a:lstStyle/>
        <a:p>
          <a:endParaRPr lang="en-US"/>
        </a:p>
      </dgm:t>
    </dgm:pt>
  </dgm:ptLst>
  <dgm:cxnLst>
    <dgm:cxn modelId="{2906FDD2-E0A0-44D1-84FD-EC1D800B3872}" type="presOf" srcId="{4F86E6FA-265A-4452-8545-DA22C251FE40}" destId="{84C724E2-5055-490E-95A9-61FB8E5AC18C}" srcOrd="0" destOrd="0" presId="urn:microsoft.com/office/officeart/2005/8/layout/process1"/>
    <dgm:cxn modelId="{382222CC-C6B2-464F-A93D-52823ADA5BB4}" type="presOf" srcId="{8611B788-AB0B-4F38-83D0-2740CE55AD00}" destId="{6A4AA677-9FEC-4CAF-9F4E-BC6BA4D08BB1}" srcOrd="0" destOrd="0" presId="urn:microsoft.com/office/officeart/2005/8/layout/process1"/>
    <dgm:cxn modelId="{1A75E63A-8EA4-42D8-ADBF-3BF11842F038}" type="presOf" srcId="{3851AB3F-4082-497C-81FA-C81D9AF15B49}" destId="{8A78CA4B-14DA-4219-87C3-9798B83C7FD8}" srcOrd="0" destOrd="0" presId="urn:microsoft.com/office/officeart/2005/8/layout/process1"/>
    <dgm:cxn modelId="{C7B2B34A-3235-408F-AC53-9C1DCCFCEBA4}" type="presOf" srcId="{43BBB9D8-6988-4AA6-A9F1-5DB2703C27BD}" destId="{97665F0E-13FF-44DB-AD86-D42C1254633B}" srcOrd="0" destOrd="0" presId="urn:microsoft.com/office/officeart/2005/8/layout/process1"/>
    <dgm:cxn modelId="{2CEEE16D-2A84-4832-8E70-67D640B960CB}" type="presOf" srcId="{8611B788-AB0B-4F38-83D0-2740CE55AD00}" destId="{2F5C9457-845D-4629-9448-93E7A23C0DD2}" srcOrd="1" destOrd="0" presId="urn:microsoft.com/office/officeart/2005/8/layout/process1"/>
    <dgm:cxn modelId="{AC8341D0-B309-4C85-ABC6-A7A7A7F4BC66}" type="presOf" srcId="{28CFFA8C-6ED8-46FD-9EAC-15BD3526077B}" destId="{A85AF43B-0987-455F-8BC6-46B16F4F73C4}" srcOrd="1" destOrd="0" presId="urn:microsoft.com/office/officeart/2005/8/layout/process1"/>
    <dgm:cxn modelId="{E9B06C6D-8C32-462E-87C0-6E2A75C6F2F3}" type="presOf" srcId="{3F4804B5-9C4F-4298-BDA1-B6B18B86B8F9}" destId="{1DF5ADDA-8A91-4E11-80A9-45182D310E39}" srcOrd="0" destOrd="0" presId="urn:microsoft.com/office/officeart/2005/8/layout/process1"/>
    <dgm:cxn modelId="{2105A434-DCC8-4282-BC92-5B63162321DF}" srcId="{43BBB9D8-6988-4AA6-A9F1-5DB2703C27BD}" destId="{4F86E6FA-265A-4452-8545-DA22C251FE40}" srcOrd="1" destOrd="0" parTransId="{97DC5BA4-ACEB-40E4-A1ED-AC3A710933E6}" sibTransId="{8611B788-AB0B-4F38-83D0-2740CE55AD00}"/>
    <dgm:cxn modelId="{549F2EBE-E2C4-4373-9B49-E4B46198E283}" srcId="{43BBB9D8-6988-4AA6-A9F1-5DB2703C27BD}" destId="{3851AB3F-4082-497C-81FA-C81D9AF15B49}" srcOrd="0" destOrd="0" parTransId="{671BB176-C359-47B2-82D1-FA13F61B927D}" sibTransId="{28CFFA8C-6ED8-46FD-9EAC-15BD3526077B}"/>
    <dgm:cxn modelId="{344C23D5-B493-4A1A-8F87-3CDB9E2C7628}" srcId="{43BBB9D8-6988-4AA6-A9F1-5DB2703C27BD}" destId="{3F4804B5-9C4F-4298-BDA1-B6B18B86B8F9}" srcOrd="2" destOrd="0" parTransId="{5CFCD48A-C2FA-48FA-A8C9-BE9B6BF3CB57}" sibTransId="{D60B0D25-1C8B-4ED4-8370-DB750F3A78D6}"/>
    <dgm:cxn modelId="{732CB076-FAA1-4CB7-B786-2B5264EE27E1}" type="presOf" srcId="{28CFFA8C-6ED8-46FD-9EAC-15BD3526077B}" destId="{4AFF4BEB-3343-438B-8AFB-660EADE77186}" srcOrd="0" destOrd="0" presId="urn:microsoft.com/office/officeart/2005/8/layout/process1"/>
    <dgm:cxn modelId="{30893C05-6514-4E50-A91C-E9019AF9DE13}" type="presParOf" srcId="{97665F0E-13FF-44DB-AD86-D42C1254633B}" destId="{8A78CA4B-14DA-4219-87C3-9798B83C7FD8}" srcOrd="0" destOrd="0" presId="urn:microsoft.com/office/officeart/2005/8/layout/process1"/>
    <dgm:cxn modelId="{54BC9419-EAEF-429F-B949-CD0C48A65FAC}" type="presParOf" srcId="{97665F0E-13FF-44DB-AD86-D42C1254633B}" destId="{4AFF4BEB-3343-438B-8AFB-660EADE77186}" srcOrd="1" destOrd="0" presId="urn:microsoft.com/office/officeart/2005/8/layout/process1"/>
    <dgm:cxn modelId="{F839DE51-C6DB-400B-AB32-AF8179D453D8}" type="presParOf" srcId="{4AFF4BEB-3343-438B-8AFB-660EADE77186}" destId="{A85AF43B-0987-455F-8BC6-46B16F4F73C4}" srcOrd="0" destOrd="0" presId="urn:microsoft.com/office/officeart/2005/8/layout/process1"/>
    <dgm:cxn modelId="{3004A4DE-A2D8-4C97-99DB-A7326AAE2200}" type="presParOf" srcId="{97665F0E-13FF-44DB-AD86-D42C1254633B}" destId="{84C724E2-5055-490E-95A9-61FB8E5AC18C}" srcOrd="2" destOrd="0" presId="urn:microsoft.com/office/officeart/2005/8/layout/process1"/>
    <dgm:cxn modelId="{74E0FC8C-C91B-494D-B401-57E2E869854F}" type="presParOf" srcId="{97665F0E-13FF-44DB-AD86-D42C1254633B}" destId="{6A4AA677-9FEC-4CAF-9F4E-BC6BA4D08BB1}" srcOrd="3" destOrd="0" presId="urn:microsoft.com/office/officeart/2005/8/layout/process1"/>
    <dgm:cxn modelId="{422CF310-CB85-4EAC-A87C-DD715DB58EFA}" type="presParOf" srcId="{6A4AA677-9FEC-4CAF-9F4E-BC6BA4D08BB1}" destId="{2F5C9457-845D-4629-9448-93E7A23C0DD2}" srcOrd="0" destOrd="0" presId="urn:microsoft.com/office/officeart/2005/8/layout/process1"/>
    <dgm:cxn modelId="{01AA2C4D-CA97-4713-9553-B92B59EA18A1}" type="presParOf" srcId="{97665F0E-13FF-44DB-AD86-D42C1254633B}" destId="{1DF5ADDA-8A91-4E11-80A9-45182D310E39}" srcOrd="4" destOrd="0" presId="urn:microsoft.com/office/officeart/2005/8/layout/process1"/>
  </dgm:cxnLst>
  <dgm:bg/>
  <dgm:whole/>
  <dgm:extLst>
    <a:ext uri="http://schemas.microsoft.com/office/drawing/2008/diagram">
      <dsp:dataModelExt xmlns:dsp="http://schemas.microsoft.com/office/drawing/2008/diagram" relId="rId2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A78CA4B-14DA-4219-87C3-9798B83C7FD8}">
      <dsp:nvSpPr>
        <dsp:cNvPr id="0" name=""/>
        <dsp:cNvSpPr/>
      </dsp:nvSpPr>
      <dsp:spPr>
        <a:xfrm>
          <a:off x="3" y="0"/>
          <a:ext cx="1517335" cy="2543175"/>
        </a:xfrm>
        <a:prstGeom prst="roundRect">
          <a:avLst>
            <a:gd name="adj" fmla="val 10000"/>
          </a:avLst>
        </a:prstGeom>
        <a:gradFill rotWithShape="0">
          <a:gsLst>
            <a:gs pos="0">
              <a:schemeClr val="accent5">
                <a:hueOff val="0"/>
                <a:satOff val="0"/>
                <a:lumOff val="0"/>
                <a:alphaOff val="0"/>
                <a:tint val="50000"/>
                <a:satMod val="300000"/>
              </a:schemeClr>
            </a:gs>
            <a:gs pos="35000">
              <a:schemeClr val="accent5">
                <a:hueOff val="0"/>
                <a:satOff val="0"/>
                <a:lumOff val="0"/>
                <a:alphaOff val="0"/>
                <a:tint val="37000"/>
                <a:satMod val="300000"/>
              </a:schemeClr>
            </a:gs>
            <a:gs pos="100000">
              <a:schemeClr val="accent5">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5720" tIns="45720" rIns="45720" bIns="45720" numCol="1" spcCol="1270" anchor="ctr" anchorCtr="0">
          <a:noAutofit/>
        </a:bodyPr>
        <a:lstStyle/>
        <a:p>
          <a:pPr lvl="0" algn="l" defTabSz="533400">
            <a:lnSpc>
              <a:spcPct val="90000"/>
            </a:lnSpc>
            <a:spcBef>
              <a:spcPct val="0"/>
            </a:spcBef>
            <a:spcAft>
              <a:spcPct val="35000"/>
            </a:spcAft>
          </a:pPr>
          <a:r>
            <a:rPr lang="en-US" sz="1200" kern="1200"/>
            <a:t>Reducing healthcare costs while incentivizing multidisplinary care</a:t>
          </a:r>
        </a:p>
        <a:p>
          <a:pPr lvl="0" algn="l" defTabSz="533400">
            <a:lnSpc>
              <a:spcPct val="90000"/>
            </a:lnSpc>
            <a:spcBef>
              <a:spcPct val="0"/>
            </a:spcBef>
            <a:spcAft>
              <a:spcPct val="35000"/>
            </a:spcAft>
          </a:pPr>
          <a:r>
            <a:rPr lang="en-US" sz="1200" kern="1200"/>
            <a:t>Improving communication among providers involved in care transition</a:t>
          </a:r>
        </a:p>
        <a:p>
          <a:pPr lvl="0" algn="l" defTabSz="533400">
            <a:lnSpc>
              <a:spcPct val="90000"/>
            </a:lnSpc>
            <a:spcBef>
              <a:spcPct val="0"/>
            </a:spcBef>
            <a:spcAft>
              <a:spcPct val="35000"/>
            </a:spcAft>
          </a:pPr>
          <a:r>
            <a:rPr lang="en-US" sz="1200" kern="1200"/>
            <a:t>Encouraging strategies that promote disease management</a:t>
          </a:r>
        </a:p>
      </dsp:txBody>
      <dsp:txXfrm>
        <a:off x="44444" y="44441"/>
        <a:ext cx="1428453" cy="2454293"/>
      </dsp:txXfrm>
    </dsp:sp>
    <dsp:sp modelId="{4AFF4BEB-3343-438B-8AFB-660EADE77186}">
      <dsp:nvSpPr>
        <dsp:cNvPr id="0" name=""/>
        <dsp:cNvSpPr/>
      </dsp:nvSpPr>
      <dsp:spPr>
        <a:xfrm>
          <a:off x="1604372" y="1083437"/>
          <a:ext cx="184509" cy="376299"/>
        </a:xfrm>
        <a:prstGeom prst="rightArrow">
          <a:avLst>
            <a:gd name="adj1" fmla="val 60000"/>
            <a:gd name="adj2" fmla="val 50000"/>
          </a:avLst>
        </a:prstGeom>
        <a:gradFill rotWithShape="0">
          <a:gsLst>
            <a:gs pos="0">
              <a:schemeClr val="accent5">
                <a:hueOff val="0"/>
                <a:satOff val="0"/>
                <a:lumOff val="0"/>
                <a:alphaOff val="0"/>
                <a:tint val="50000"/>
                <a:satMod val="300000"/>
              </a:schemeClr>
            </a:gs>
            <a:gs pos="35000">
              <a:schemeClr val="accent5">
                <a:hueOff val="0"/>
                <a:satOff val="0"/>
                <a:lumOff val="0"/>
                <a:alphaOff val="0"/>
                <a:tint val="37000"/>
                <a:satMod val="300000"/>
              </a:schemeClr>
            </a:gs>
            <a:gs pos="100000">
              <a:schemeClr val="accent5">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711200">
            <a:lnSpc>
              <a:spcPct val="90000"/>
            </a:lnSpc>
            <a:spcBef>
              <a:spcPct val="0"/>
            </a:spcBef>
            <a:spcAft>
              <a:spcPct val="35000"/>
            </a:spcAft>
          </a:pPr>
          <a:endParaRPr lang="en-US" sz="1600" kern="1200"/>
        </a:p>
      </dsp:txBody>
      <dsp:txXfrm>
        <a:off x="1604372" y="1158697"/>
        <a:ext cx="129156" cy="225779"/>
      </dsp:txXfrm>
    </dsp:sp>
    <dsp:sp modelId="{84C724E2-5055-490E-95A9-61FB8E5AC18C}">
      <dsp:nvSpPr>
        <dsp:cNvPr id="0" name=""/>
        <dsp:cNvSpPr/>
      </dsp:nvSpPr>
      <dsp:spPr>
        <a:xfrm>
          <a:off x="1865470" y="-25689"/>
          <a:ext cx="1517335" cy="2594553"/>
        </a:xfrm>
        <a:prstGeom prst="roundRect">
          <a:avLst>
            <a:gd name="adj" fmla="val 10000"/>
          </a:avLst>
        </a:prstGeom>
        <a:gradFill rotWithShape="0">
          <a:gsLst>
            <a:gs pos="0">
              <a:schemeClr val="accent5">
                <a:hueOff val="-4966938"/>
                <a:satOff val="19906"/>
                <a:lumOff val="4314"/>
                <a:alphaOff val="0"/>
                <a:tint val="50000"/>
                <a:satMod val="300000"/>
              </a:schemeClr>
            </a:gs>
            <a:gs pos="35000">
              <a:schemeClr val="accent5">
                <a:hueOff val="-4966938"/>
                <a:satOff val="19906"/>
                <a:lumOff val="4314"/>
                <a:alphaOff val="0"/>
                <a:tint val="37000"/>
                <a:satMod val="300000"/>
              </a:schemeClr>
            </a:gs>
            <a:gs pos="100000">
              <a:schemeClr val="accent5">
                <a:hueOff val="-4966938"/>
                <a:satOff val="19906"/>
                <a:lumOff val="4314"/>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kern="1200"/>
            <a:t>Improved patient health </a:t>
          </a:r>
          <a:endParaRPr lang="en-US" sz="1200" strike="sngStrike" kern="1200">
            <a:solidFill>
              <a:srgbClr val="FF0000"/>
            </a:solidFill>
          </a:endParaRPr>
        </a:p>
      </dsp:txBody>
      <dsp:txXfrm>
        <a:off x="1909911" y="18752"/>
        <a:ext cx="1428453" cy="2505671"/>
      </dsp:txXfrm>
    </dsp:sp>
    <dsp:sp modelId="{6A4AA677-9FEC-4CAF-9F4E-BC6BA4D08BB1}">
      <dsp:nvSpPr>
        <dsp:cNvPr id="0" name=""/>
        <dsp:cNvSpPr/>
      </dsp:nvSpPr>
      <dsp:spPr>
        <a:xfrm>
          <a:off x="3601214" y="1083437"/>
          <a:ext cx="463025" cy="376299"/>
        </a:xfrm>
        <a:prstGeom prst="rightArrow">
          <a:avLst>
            <a:gd name="adj1" fmla="val 60000"/>
            <a:gd name="adj2" fmla="val 50000"/>
          </a:avLst>
        </a:prstGeom>
        <a:gradFill rotWithShape="0">
          <a:gsLst>
            <a:gs pos="0">
              <a:schemeClr val="accent5">
                <a:hueOff val="-9933876"/>
                <a:satOff val="39811"/>
                <a:lumOff val="8628"/>
                <a:alphaOff val="0"/>
                <a:tint val="50000"/>
                <a:satMod val="300000"/>
              </a:schemeClr>
            </a:gs>
            <a:gs pos="35000">
              <a:schemeClr val="accent5">
                <a:hueOff val="-9933876"/>
                <a:satOff val="39811"/>
                <a:lumOff val="8628"/>
                <a:alphaOff val="0"/>
                <a:tint val="37000"/>
                <a:satMod val="300000"/>
              </a:schemeClr>
            </a:gs>
            <a:gs pos="100000">
              <a:schemeClr val="accent5">
                <a:hueOff val="-9933876"/>
                <a:satOff val="39811"/>
                <a:lumOff val="8628"/>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711200">
            <a:lnSpc>
              <a:spcPct val="90000"/>
            </a:lnSpc>
            <a:spcBef>
              <a:spcPct val="0"/>
            </a:spcBef>
            <a:spcAft>
              <a:spcPct val="35000"/>
            </a:spcAft>
          </a:pPr>
          <a:endParaRPr lang="en-US" sz="1600" kern="1200"/>
        </a:p>
      </dsp:txBody>
      <dsp:txXfrm>
        <a:off x="3601214" y="1158697"/>
        <a:ext cx="350135" cy="225779"/>
      </dsp:txXfrm>
    </dsp:sp>
    <dsp:sp modelId="{1DF5ADDA-8A91-4E11-80A9-45182D310E39}">
      <dsp:nvSpPr>
        <dsp:cNvPr id="0" name=""/>
        <dsp:cNvSpPr/>
      </dsp:nvSpPr>
      <dsp:spPr>
        <a:xfrm>
          <a:off x="4256439" y="89909"/>
          <a:ext cx="1517335" cy="2363355"/>
        </a:xfrm>
        <a:prstGeom prst="roundRect">
          <a:avLst>
            <a:gd name="adj" fmla="val 10000"/>
          </a:avLst>
        </a:prstGeom>
        <a:gradFill rotWithShape="0">
          <a:gsLst>
            <a:gs pos="0">
              <a:schemeClr val="accent5">
                <a:hueOff val="-9933876"/>
                <a:satOff val="39811"/>
                <a:lumOff val="8628"/>
                <a:alphaOff val="0"/>
                <a:tint val="50000"/>
                <a:satMod val="300000"/>
              </a:schemeClr>
            </a:gs>
            <a:gs pos="35000">
              <a:schemeClr val="accent5">
                <a:hueOff val="-9933876"/>
                <a:satOff val="39811"/>
                <a:lumOff val="8628"/>
                <a:alphaOff val="0"/>
                <a:tint val="37000"/>
                <a:satMod val="300000"/>
              </a:schemeClr>
            </a:gs>
            <a:gs pos="100000">
              <a:schemeClr val="accent5">
                <a:hueOff val="-9933876"/>
                <a:satOff val="39811"/>
                <a:lumOff val="8628"/>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kern="1200"/>
            <a:t>Decreased risk of mortality</a:t>
          </a:r>
        </a:p>
      </dsp:txBody>
      <dsp:txXfrm>
        <a:off x="4300880" y="134350"/>
        <a:ext cx="1428453" cy="2274473"/>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altName w:val="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022F22"/>
    <w:rsid w:val="000E1AB5"/>
    <w:rsid w:val="00160241"/>
    <w:rsid w:val="001D248D"/>
    <w:rsid w:val="001F47A0"/>
    <w:rsid w:val="00206704"/>
    <w:rsid w:val="00242BDE"/>
    <w:rsid w:val="002B5F47"/>
    <w:rsid w:val="002D0957"/>
    <w:rsid w:val="002E2843"/>
    <w:rsid w:val="00310FF8"/>
    <w:rsid w:val="00321A6E"/>
    <w:rsid w:val="003A1E4B"/>
    <w:rsid w:val="00455EB5"/>
    <w:rsid w:val="00461C1C"/>
    <w:rsid w:val="004E2027"/>
    <w:rsid w:val="005067C4"/>
    <w:rsid w:val="005868B9"/>
    <w:rsid w:val="005F21F3"/>
    <w:rsid w:val="006707B9"/>
    <w:rsid w:val="00734857"/>
    <w:rsid w:val="00845499"/>
    <w:rsid w:val="008F6A9B"/>
    <w:rsid w:val="00A77B15"/>
    <w:rsid w:val="00BC2800"/>
    <w:rsid w:val="00BE0F2D"/>
    <w:rsid w:val="00C03643"/>
    <w:rsid w:val="00C2797F"/>
    <w:rsid w:val="00C57916"/>
    <w:rsid w:val="00C7144D"/>
    <w:rsid w:val="00C80225"/>
    <w:rsid w:val="00D228C9"/>
    <w:rsid w:val="00D2552B"/>
    <w:rsid w:val="00D75B64"/>
    <w:rsid w:val="00DB5324"/>
    <w:rsid w:val="00E82A45"/>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CDBE7-7F08-4F52-B308-EE351D98984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836b82f1-340d-495e-85b5-201c5296619a"/>
    <ds:schemaRef ds:uri="http://www.w3.org/XML/1998/namespace"/>
    <ds:schemaRef ds:uri="http://purl.org/dc/dcmitype/"/>
  </ds:schemaRefs>
</ds:datastoreItem>
</file>

<file path=customXml/itemProps2.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4.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5.xml><?xml version="1.0" encoding="utf-8"?>
<ds:datastoreItem xmlns:ds="http://schemas.openxmlformats.org/officeDocument/2006/customXml" ds:itemID="{60DBC5E9-2ED2-4829-B01C-99A74E4ED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2377</Words>
  <Characters>13549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15895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Lein Han</cp:lastModifiedBy>
  <cp:revision>2</cp:revision>
  <dcterms:created xsi:type="dcterms:W3CDTF">2019-03-28T17:49:00Z</dcterms:created>
  <dcterms:modified xsi:type="dcterms:W3CDTF">2019-03-28T17:49:00Z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